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简体" w:eastAsia="方正小标宋简体"/>
          <w:sz w:val="44"/>
          <w:szCs w:val="44"/>
        </w:rPr>
      </w:pPr>
    </w:p>
    <w:p>
      <w:pPr>
        <w:jc w:val="left"/>
        <w:rPr>
          <w:rFonts w:ascii="方正小标宋简体" w:eastAsia="方正小标宋简体"/>
          <w:sz w:val="44"/>
          <w:szCs w:val="44"/>
        </w:rPr>
      </w:pPr>
    </w:p>
    <w:p>
      <w:pPr>
        <w:jc w:val="left"/>
        <w:rPr>
          <w:rFonts w:ascii="方正小标宋简体" w:eastAsia="方正小标宋简体"/>
          <w:sz w:val="48"/>
          <w:szCs w:val="48"/>
        </w:rPr>
      </w:pPr>
      <w:bookmarkStart w:id="19" w:name="_GoBack"/>
      <w:bookmarkEnd w:id="19"/>
      <w:r>
        <w:rPr>
          <w:rFonts w:ascii="方正小标宋简体" w:eastAsia="方正小标宋简体"/>
          <w:sz w:val="44"/>
          <w:szCs w:val="44"/>
        </w:rPr>
        <w:drawing>
          <wp:inline distT="0" distB="0" distL="0" distR="0">
            <wp:extent cx="1383030" cy="1405890"/>
            <wp:effectExtent l="0" t="0" r="1270" b="3810"/>
            <wp:docPr id="3" name="图片 1" descr="h:\学院\2019专题\教育成果展\呼伦贝尔职业技术学院教育成果展\图片\院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h:\学院\2019专题\教育成果展\呼伦贝尔职业技术学院教育成果展\图片\院徽.jpg"/>
                    <pic:cNvPicPr>
                      <a:picLocks noChangeAspect="1" noChangeArrowheads="1"/>
                    </pic:cNvPicPr>
                  </pic:nvPicPr>
                  <pic:blipFill>
                    <a:blip r:embed="rId5" cstate="print"/>
                    <a:srcRect/>
                    <a:stretch>
                      <a:fillRect/>
                    </a:stretch>
                  </pic:blipFill>
                  <pic:spPr>
                    <a:xfrm>
                      <a:off x="0" y="0"/>
                      <a:ext cx="1401786" cy="1425390"/>
                    </a:xfrm>
                    <a:prstGeom prst="rect">
                      <a:avLst/>
                    </a:prstGeom>
                    <a:noFill/>
                    <a:ln w="9525">
                      <a:noFill/>
                      <a:miter lim="800000"/>
                      <a:headEnd/>
                      <a:tailEnd/>
                    </a:ln>
                  </pic:spPr>
                </pic:pic>
              </a:graphicData>
            </a:graphic>
          </wp:inline>
        </w:drawing>
      </w:r>
    </w:p>
    <w:p>
      <w:pPr>
        <w:jc w:val="center"/>
        <w:rPr>
          <w:rFonts w:ascii="方正小标宋简体" w:eastAsia="方正小标宋简体"/>
          <w:sz w:val="48"/>
          <w:szCs w:val="48"/>
        </w:rPr>
      </w:pPr>
    </w:p>
    <w:p>
      <w:pPr>
        <w:jc w:val="center"/>
        <w:rPr>
          <w:rFonts w:ascii="方正小标宋简体" w:eastAsia="方正小标宋简体"/>
          <w:spacing w:val="36"/>
          <w:sz w:val="60"/>
          <w:szCs w:val="60"/>
        </w:rPr>
      </w:pPr>
      <w:r>
        <w:rPr>
          <w:rFonts w:hint="eastAsia" w:ascii="方正小标宋简体" w:eastAsia="方正小标宋简体"/>
          <w:spacing w:val="36"/>
          <w:sz w:val="60"/>
          <w:szCs w:val="60"/>
        </w:rPr>
        <w:t>呼伦贝尔职业技术学院</w:t>
      </w:r>
    </w:p>
    <w:p>
      <w:pPr>
        <w:jc w:val="center"/>
        <w:rPr>
          <w:rFonts w:ascii="方正小标宋简体" w:eastAsia="方正小标宋简体"/>
          <w:spacing w:val="36"/>
          <w:sz w:val="60"/>
          <w:szCs w:val="60"/>
        </w:rPr>
      </w:pPr>
      <w:r>
        <w:rPr>
          <w:rFonts w:hint="eastAsia" w:ascii="方正小标宋简体" w:eastAsia="方正小标宋简体"/>
          <w:spacing w:val="36"/>
          <w:sz w:val="60"/>
          <w:szCs w:val="60"/>
        </w:rPr>
        <w:t>“十四五”发展规划</w:t>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楷体" w:hAnsi="楷体" w:eastAsia="楷体"/>
          <w:sz w:val="44"/>
          <w:szCs w:val="44"/>
        </w:rPr>
      </w:pPr>
      <w:r>
        <w:rPr>
          <w:rFonts w:hint="eastAsia" w:ascii="楷体" w:hAnsi="楷体" w:eastAsia="楷体"/>
          <w:sz w:val="44"/>
          <w:szCs w:val="44"/>
        </w:rPr>
        <w:t>2</w:t>
      </w:r>
      <w:r>
        <w:rPr>
          <w:rFonts w:ascii="楷体" w:hAnsi="楷体" w:eastAsia="楷体"/>
          <w:sz w:val="44"/>
          <w:szCs w:val="44"/>
        </w:rPr>
        <w:t>021年7月</w:t>
      </w:r>
    </w:p>
    <w:p>
      <w:pPr>
        <w:rPr>
          <w:rFonts w:hint="eastAsia" w:ascii="方正小标宋简体" w:hAnsi="黑体" w:eastAsia="方正小标宋简体"/>
          <w:sz w:val="32"/>
          <w:szCs w:val="32"/>
        </w:rPr>
      </w:pPr>
      <w:r>
        <w:rPr>
          <w:rFonts w:hint="eastAsia" w:ascii="方正小标宋简体" w:hAnsi="黑体" w:eastAsia="方正小标宋简体"/>
          <w:sz w:val="32"/>
          <w:szCs w:val="32"/>
        </w:rPr>
        <w:br w:type="page"/>
      </w:r>
    </w:p>
    <w:p>
      <w:pPr>
        <w:pStyle w:val="11"/>
        <w:shd w:val="clear" w:color="auto" w:fill="FFFFFF"/>
        <w:spacing w:before="0" w:beforeAutospacing="0" w:after="0" w:afterAutospacing="0" w:line="560" w:lineRule="exact"/>
        <w:jc w:val="center"/>
        <w:rPr>
          <w:rFonts w:ascii="方正小标宋简体" w:hAnsi="黑体" w:eastAsia="方正小标宋简体"/>
          <w:sz w:val="32"/>
          <w:szCs w:val="32"/>
        </w:rPr>
      </w:pPr>
      <w:r>
        <w:rPr>
          <w:rFonts w:hint="eastAsia" w:ascii="方正小标宋简体" w:hAnsi="黑体" w:eastAsia="方正小标宋简体"/>
          <w:sz w:val="32"/>
          <w:szCs w:val="32"/>
        </w:rPr>
        <w:t>序   言</w:t>
      </w:r>
    </w:p>
    <w:p>
      <w:pPr>
        <w:pStyle w:val="11"/>
        <w:shd w:val="clear" w:color="auto" w:fill="FFFFFF"/>
        <w:spacing w:before="0" w:beforeAutospacing="0" w:after="0" w:afterAutospacing="0" w:line="560" w:lineRule="exact"/>
        <w:jc w:val="both"/>
        <w:rPr>
          <w:rFonts w:ascii="黑体" w:hAnsi="黑体" w:eastAsia="黑体"/>
          <w:sz w:val="32"/>
          <w:szCs w:val="32"/>
        </w:rPr>
      </w:pPr>
    </w:p>
    <w:p>
      <w:pPr>
        <w:pStyle w:val="11"/>
        <w:shd w:val="clear" w:color="auto" w:fill="FFFFFF"/>
        <w:spacing w:before="0" w:beforeAutospacing="0" w:after="0" w:afterAutospacing="0" w:line="560" w:lineRule="exact"/>
        <w:ind w:firstLine="640" w:firstLineChars="200"/>
        <w:jc w:val="both"/>
        <w:rPr>
          <w:rFonts w:ascii="方正小标宋简体" w:hAnsi="黑体" w:eastAsia="方正小标宋简体"/>
          <w:sz w:val="32"/>
          <w:szCs w:val="32"/>
        </w:rPr>
      </w:pPr>
      <w:r>
        <w:rPr>
          <w:rFonts w:hint="eastAsia" w:ascii="仿宋_GB2312" w:eastAsia="仿宋_GB2312"/>
          <w:sz w:val="32"/>
          <w:szCs w:val="32"/>
        </w:rPr>
        <w:t>“十四五”时期是我国全面建成小康社会、实现第一个百年奋斗目标之后，乘势而上开启全面建设社会主义现代化国家新征程、向第二个百年奋斗目标进军的第一个五年，是我国加快推进教育现代化战略部署的关键时期，也是呼伦贝尔职业技术学院实现高质量发展的重要机遇期。面对世界百年未有之大变局，学院在自治区党委教育工委、自治区教育厅、市委、市政府的坚强领导下，全面贯彻党的教育方针，深入学习贯彻党的十九大和十九届二中、三中、四中、五中全会精神，全面落实习近平总书记</w:t>
      </w:r>
      <w:r>
        <w:rPr>
          <w:rFonts w:hint="eastAsia" w:ascii="仿宋_GB2312" w:eastAsia="仿宋_GB2312" w:hAnsiTheme="minorHAnsi" w:cstheme="minorBidi"/>
          <w:sz w:val="32"/>
          <w:szCs w:val="32"/>
        </w:rPr>
        <w:t>关于教育的重要论述、对职业教育工作的重要指示、全国教育大会、全国职业教育大会精神，全面贯彻落实《中国教育现代化2035》《国家职业教育改革实施方案》《职业教育提质培优行动计划（2020—2023年）》《关于在院校实施“学历证书+若干职业技能等级证书”制度试点方案》《深化新时代职业教育“双师型”教师队伍建设改革实施方案》《职业院校全面开展职业培训促进就业</w:t>
      </w:r>
      <w:r>
        <w:rPr>
          <w:rFonts w:hint="eastAsia" w:ascii="仿宋_GB2312" w:eastAsia="仿宋_GB2312"/>
          <w:sz w:val="32"/>
          <w:szCs w:val="32"/>
        </w:rPr>
        <w:t>创业行动计划》</w:t>
      </w:r>
      <w:r>
        <w:rPr>
          <w:rFonts w:hint="eastAsia" w:ascii="仿宋_GB2312" w:eastAsia="仿宋_GB2312" w:hAnsiTheme="minorHAnsi" w:cstheme="minorBidi"/>
          <w:sz w:val="32"/>
          <w:szCs w:val="32"/>
        </w:rPr>
        <w:t>等文件精神，</w:t>
      </w:r>
      <w:r>
        <w:rPr>
          <w:rFonts w:hint="eastAsia" w:ascii="仿宋_GB2312" w:eastAsia="仿宋_GB2312"/>
          <w:sz w:val="32"/>
          <w:szCs w:val="32"/>
        </w:rPr>
        <w:t>在危机中育先机，于变局中开新局，</w:t>
      </w:r>
      <w:r>
        <w:rPr>
          <w:rFonts w:hint="eastAsia" w:ascii="仿宋_GB2312" w:eastAsia="仿宋_GB2312" w:hAnsiTheme="minorHAnsi" w:cstheme="minorBidi"/>
          <w:sz w:val="32"/>
          <w:szCs w:val="32"/>
        </w:rPr>
        <w:t>坚持改革创新，以建设“双高”为核心目标，以深化职业教育改革为发展主线，在准确把握</w:t>
      </w:r>
      <w:r>
        <w:rPr>
          <w:rFonts w:hint="eastAsia" w:ascii="仿宋_GB2312" w:eastAsia="仿宋_GB2312"/>
          <w:sz w:val="32"/>
          <w:szCs w:val="32"/>
        </w:rPr>
        <w:t>新形势新任务</w:t>
      </w:r>
      <w:r>
        <w:rPr>
          <w:rFonts w:hint="eastAsia" w:ascii="仿宋_GB2312" w:eastAsia="仿宋_GB2312" w:hAnsiTheme="minorHAnsi" w:cstheme="minorBidi"/>
          <w:sz w:val="32"/>
          <w:szCs w:val="32"/>
        </w:rPr>
        <w:t>新变化新特点的基础上，深刻认识学院现状，系统谋划“十四五”时期学院高质量发展战略举措，制定此规划，奋力开创现代化高水平高职院校建设新局面。</w:t>
      </w:r>
    </w:p>
    <w:p>
      <w:pPr>
        <w:spacing w:line="560" w:lineRule="exact"/>
        <w:jc w:val="center"/>
        <w:rPr>
          <w:rFonts w:ascii="方正小标宋简体" w:hAnsi="黑体" w:eastAsia="方正小标宋简体"/>
          <w:sz w:val="32"/>
          <w:szCs w:val="32"/>
        </w:rPr>
      </w:pPr>
      <w:r>
        <w:rPr>
          <w:rFonts w:hint="eastAsia" w:ascii="方正小标宋简体" w:hAnsi="黑体" w:eastAsia="方正小标宋简体"/>
          <w:sz w:val="32"/>
          <w:szCs w:val="32"/>
        </w:rPr>
        <w:t>第一部分  基础与形势</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一、现实基础</w:t>
      </w:r>
    </w:p>
    <w:p>
      <w:pPr>
        <w:spacing w:line="560" w:lineRule="exact"/>
        <w:ind w:firstLine="640" w:firstLineChars="200"/>
        <w:rPr>
          <w:rFonts w:ascii="楷体_GB2312" w:hAnsi="华文仿宋" w:eastAsia="楷体_GB2312" w:cs="Times New Roman"/>
          <w:sz w:val="32"/>
          <w:szCs w:val="32"/>
        </w:rPr>
      </w:pPr>
      <w:r>
        <w:rPr>
          <w:rFonts w:hint="eastAsia" w:ascii="楷体_GB2312" w:hAnsi="楷体" w:eastAsia="楷体_GB2312" w:cs="楷体"/>
          <w:bCs/>
          <w:sz w:val="32"/>
          <w:szCs w:val="32"/>
        </w:rPr>
        <w:t>（一）“十三五”期间主要任务指标完成情况</w:t>
      </w:r>
    </w:p>
    <w:p>
      <w:pPr>
        <w:pStyle w:val="11"/>
        <w:shd w:val="clear" w:color="auto" w:fill="FFFFFF"/>
        <w:spacing w:before="0" w:beforeAutospacing="0" w:after="0" w:afterAutospacing="0" w:line="560" w:lineRule="exact"/>
        <w:ind w:firstLine="640" w:firstLineChars="200"/>
        <w:jc w:val="both"/>
        <w:rPr>
          <w:rFonts w:ascii="仿宋_GB2312" w:eastAsia="仿宋_GB2312" w:hAnsiTheme="minorHAnsi" w:cstheme="minorBidi"/>
          <w:sz w:val="32"/>
          <w:szCs w:val="32"/>
        </w:rPr>
      </w:pPr>
      <w:r>
        <w:rPr>
          <w:rFonts w:hint="eastAsia" w:ascii="仿宋_GB2312" w:eastAsia="仿宋_GB2312" w:hAnsiTheme="minorHAnsi" w:cstheme="minorBidi"/>
          <w:sz w:val="32"/>
          <w:szCs w:val="32"/>
        </w:rPr>
        <w:t>“十三五”规划提出的7项主要指标总体进展顺利，2项指标超额完成，1项指标达到预期进度，4项指标持续推进，总体符合预期。</w:t>
      </w:r>
    </w:p>
    <w:p>
      <w:pPr>
        <w:spacing w:line="560" w:lineRule="exact"/>
        <w:ind w:firstLine="643" w:firstLineChars="200"/>
        <w:rPr>
          <w:rFonts w:ascii="仿宋_GB2312" w:eastAsia="仿宋_GB2312"/>
          <w:kern w:val="0"/>
          <w:sz w:val="32"/>
          <w:szCs w:val="32"/>
        </w:rPr>
      </w:pPr>
      <w:r>
        <w:rPr>
          <w:rFonts w:hint="eastAsia" w:ascii="仿宋_GB2312" w:hAnsi="华文仿宋" w:eastAsia="仿宋_GB2312" w:cs="Times New Roman"/>
          <w:b/>
          <w:bCs/>
          <w:sz w:val="32"/>
          <w:szCs w:val="32"/>
        </w:rPr>
        <w:t>专业建设得到强化。</w:t>
      </w:r>
      <w:r>
        <w:rPr>
          <w:rFonts w:hint="eastAsia" w:ascii="仿宋_GB2312" w:eastAsia="仿宋_GB2312"/>
          <w:kern w:val="0"/>
          <w:sz w:val="32"/>
          <w:szCs w:val="32"/>
        </w:rPr>
        <w:t>专业数由24个增至44个，超过计划数9个；建成国家级骨干专业2个，自治区级特色专业1个；实践教学学时占总学时50%以上。在创新发展行动计划项目和任务验收中，蒙医专业获批民族文化传承与创新示范专业点，护理和蒙医专业获批国家级骨干专业。承担的服务“中国制造2025”等15项重点任务均获通过。</w:t>
      </w:r>
    </w:p>
    <w:p>
      <w:pPr>
        <w:spacing w:line="560" w:lineRule="exact"/>
        <w:ind w:firstLine="643" w:firstLineChars="200"/>
        <w:rPr>
          <w:rFonts w:ascii="仿宋_GB2312" w:eastAsia="仿宋_GB2312"/>
          <w:kern w:val="0"/>
          <w:sz w:val="32"/>
          <w:szCs w:val="32"/>
        </w:rPr>
      </w:pPr>
      <w:r>
        <w:rPr>
          <w:rFonts w:hint="eastAsia" w:ascii="仿宋_GB2312" w:hAnsi="华文仿宋" w:eastAsia="仿宋_GB2312" w:cs="Times New Roman"/>
          <w:b/>
          <w:bCs/>
          <w:sz w:val="32"/>
          <w:szCs w:val="32"/>
        </w:rPr>
        <w:t>科研能力显著提高。</w:t>
      </w:r>
      <w:r>
        <w:rPr>
          <w:rFonts w:hint="eastAsia" w:ascii="仿宋_GB2312" w:eastAsia="仿宋_GB2312"/>
          <w:kern w:val="0"/>
          <w:sz w:val="32"/>
          <w:szCs w:val="32"/>
        </w:rPr>
        <w:t>课题立项由4项增至67项；参与撰写教材及专著由12部增至141部，获自治区教学成果一等奖1项。</w:t>
      </w:r>
    </w:p>
    <w:p>
      <w:pPr>
        <w:spacing w:line="560" w:lineRule="exact"/>
        <w:ind w:firstLine="643" w:firstLineChars="200"/>
        <w:rPr>
          <w:rFonts w:ascii="仿宋_GB2312" w:eastAsia="仿宋_GB2312"/>
          <w:kern w:val="0"/>
          <w:sz w:val="32"/>
          <w:szCs w:val="32"/>
        </w:rPr>
      </w:pPr>
      <w:r>
        <w:rPr>
          <w:rFonts w:hint="eastAsia" w:ascii="仿宋_GB2312" w:hAnsi="华文仿宋" w:eastAsia="仿宋_GB2312" w:cs="Times New Roman"/>
          <w:b/>
          <w:bCs/>
          <w:sz w:val="32"/>
          <w:szCs w:val="32"/>
        </w:rPr>
        <w:t>师资队伍建设逐步加强。</w:t>
      </w:r>
      <w:r>
        <w:rPr>
          <w:rFonts w:hint="eastAsia" w:ascii="仿宋_GB2312" w:eastAsia="仿宋_GB2312"/>
          <w:kern w:val="0"/>
          <w:sz w:val="32"/>
          <w:szCs w:val="32"/>
        </w:rPr>
        <w:t>建成1个大师工作室、4个自治区级教学团队，新建3个专业建设指导委员会；中职教师资格向高校教师资格转系列工作力度逐步加大。高校高级职称比例由5.99%提至20.75%。高校中级职称由8.53%提至18.26%。硕士研究生以上学历教师比例由28.34%提至40.46%，“双师型”教师比例由36.64%提至43.78%。</w:t>
      </w:r>
    </w:p>
    <w:p>
      <w:pPr>
        <w:spacing w:line="560" w:lineRule="exact"/>
        <w:ind w:firstLine="643" w:firstLineChars="200"/>
        <w:rPr>
          <w:rFonts w:ascii="仿宋_GB2312" w:eastAsia="仿宋_GB2312"/>
          <w:kern w:val="0"/>
          <w:sz w:val="32"/>
          <w:szCs w:val="32"/>
        </w:rPr>
      </w:pPr>
      <w:r>
        <w:rPr>
          <w:rFonts w:hint="eastAsia" w:ascii="仿宋_GB2312" w:hAnsi="华文仿宋" w:eastAsia="仿宋_GB2312" w:cs="Times New Roman"/>
          <w:b/>
          <w:bCs/>
          <w:sz w:val="32"/>
          <w:szCs w:val="32"/>
        </w:rPr>
        <w:t>基础设施建设稳步推进。</w:t>
      </w:r>
      <w:r>
        <w:rPr>
          <w:rFonts w:hint="eastAsia" w:ascii="仿宋_GB2312" w:eastAsia="仿宋_GB2312"/>
          <w:kern w:val="0"/>
          <w:sz w:val="32"/>
          <w:szCs w:val="32"/>
        </w:rPr>
        <w:t>完成学院建设一、二期工程审计和一期工程验收工作。建成10000m</w:t>
      </w:r>
      <w:r>
        <w:rPr>
          <w:rFonts w:hint="eastAsia" w:ascii="仿宋_GB2312" w:eastAsia="仿宋_GB2312"/>
          <w:kern w:val="0"/>
          <w:sz w:val="32"/>
          <w:szCs w:val="32"/>
          <w:vertAlign w:val="superscript"/>
        </w:rPr>
        <w:t>2</w:t>
      </w:r>
      <w:r>
        <w:rPr>
          <w:rFonts w:hint="eastAsia" w:ascii="仿宋_GB2312" w:eastAsia="仿宋_GB2312"/>
          <w:kern w:val="0"/>
          <w:sz w:val="32"/>
          <w:szCs w:val="32"/>
        </w:rPr>
        <w:t>综合实训楼、5160.91m</w:t>
      </w:r>
      <w:r>
        <w:rPr>
          <w:rFonts w:hint="eastAsia" w:ascii="仿宋_GB2312" w:eastAsia="仿宋_GB2312"/>
          <w:kern w:val="0"/>
          <w:sz w:val="32"/>
          <w:szCs w:val="32"/>
          <w:vertAlign w:val="superscript"/>
        </w:rPr>
        <w:t>2</w:t>
      </w:r>
      <w:r>
        <w:rPr>
          <w:rFonts w:hint="eastAsia" w:ascii="仿宋_GB2312" w:eastAsia="仿宋_GB2312"/>
          <w:kern w:val="0"/>
          <w:sz w:val="32"/>
          <w:szCs w:val="32"/>
        </w:rPr>
        <w:t>运动员公寓、5193.81m</w:t>
      </w:r>
      <w:r>
        <w:rPr>
          <w:rFonts w:hint="eastAsia" w:ascii="仿宋_GB2312" w:eastAsia="仿宋_GB2312"/>
          <w:kern w:val="0"/>
          <w:sz w:val="32"/>
          <w:szCs w:val="32"/>
          <w:vertAlign w:val="superscript"/>
        </w:rPr>
        <w:t>2</w:t>
      </w:r>
      <w:r>
        <w:rPr>
          <w:rFonts w:hint="eastAsia" w:ascii="仿宋_GB2312" w:eastAsia="仿宋_GB2312"/>
          <w:kern w:val="0"/>
          <w:sz w:val="32"/>
          <w:szCs w:val="32"/>
        </w:rPr>
        <w:t>汽修实训楼。南区建设项目于2019年获批，被确定为呼伦贝尔市重点建设项目，计划建设的12000m</w:t>
      </w:r>
      <w:r>
        <w:rPr>
          <w:rFonts w:hint="eastAsia" w:ascii="仿宋_GB2312" w:eastAsia="仿宋_GB2312"/>
          <w:kern w:val="0"/>
          <w:sz w:val="32"/>
          <w:szCs w:val="32"/>
          <w:vertAlign w:val="superscript"/>
        </w:rPr>
        <w:t>2</w:t>
      </w:r>
      <w:r>
        <w:rPr>
          <w:rFonts w:hint="eastAsia" w:ascii="仿宋_GB2312" w:eastAsia="仿宋_GB2312"/>
          <w:kern w:val="0"/>
          <w:sz w:val="32"/>
          <w:szCs w:val="32"/>
        </w:rPr>
        <w:t>学生公寓、15000m</w:t>
      </w:r>
      <w:r>
        <w:rPr>
          <w:rFonts w:hint="eastAsia" w:ascii="仿宋_GB2312" w:eastAsia="仿宋_GB2312"/>
          <w:kern w:val="0"/>
          <w:sz w:val="32"/>
          <w:szCs w:val="32"/>
          <w:vertAlign w:val="superscript"/>
        </w:rPr>
        <w:t>2</w:t>
      </w:r>
      <w:r>
        <w:rPr>
          <w:rFonts w:hint="eastAsia" w:ascii="仿宋_GB2312" w:eastAsia="仿宋_GB2312"/>
          <w:kern w:val="0"/>
          <w:sz w:val="32"/>
          <w:szCs w:val="32"/>
        </w:rPr>
        <w:t>教学楼均纳入南区项目及“十四五”基础能力建设规划。</w:t>
      </w:r>
    </w:p>
    <w:p>
      <w:pPr>
        <w:spacing w:line="560" w:lineRule="exact"/>
        <w:ind w:firstLine="643" w:firstLineChars="200"/>
        <w:rPr>
          <w:rFonts w:ascii="仿宋_GB2312" w:eastAsia="仿宋_GB2312"/>
          <w:kern w:val="0"/>
          <w:sz w:val="32"/>
          <w:szCs w:val="32"/>
        </w:rPr>
      </w:pPr>
      <w:r>
        <w:rPr>
          <w:rFonts w:hint="eastAsia" w:ascii="仿宋_GB2312" w:hAnsi="华文仿宋" w:eastAsia="仿宋_GB2312" w:cs="Times New Roman"/>
          <w:b/>
          <w:bCs/>
          <w:sz w:val="32"/>
          <w:szCs w:val="32"/>
        </w:rPr>
        <w:t>数字化校园建设成效明显。</w:t>
      </w:r>
      <w:r>
        <w:rPr>
          <w:rFonts w:hint="eastAsia" w:ascii="仿宋_GB2312" w:eastAsia="仿宋_GB2312"/>
          <w:kern w:val="0"/>
          <w:sz w:val="32"/>
          <w:szCs w:val="32"/>
        </w:rPr>
        <w:t>投资1800万元，数字化校园全面运行。建成数据中心标准机房，搭建私有云服务平台，校园网络安全设备完成升级改造，校园网出口带宽由300M提升至1G，内部质量诊断系统平台上线运行，无线校园网络达到全覆盖，实现了教学运行管理、学生管理、招生迎新、毕业离校、就业管理、人事管理的数字化信息化。在线教学平台、课程资源平台、移动学习APP等教育资源服务平台全面上线，开通教学空间754个，学习空间10175个，建设在线课程896门，实现了优质教学资源班班通、网络学习空间人人通，传统教学正向数字化教学方向转变。</w:t>
      </w:r>
    </w:p>
    <w:p>
      <w:pPr>
        <w:spacing w:line="560" w:lineRule="exact"/>
        <w:ind w:firstLine="643" w:firstLineChars="200"/>
        <w:rPr>
          <w:rFonts w:ascii="仿宋_GB2312" w:eastAsia="仿宋_GB2312"/>
          <w:color w:val="FF0000"/>
          <w:kern w:val="0"/>
          <w:sz w:val="32"/>
          <w:szCs w:val="32"/>
        </w:rPr>
      </w:pPr>
      <w:r>
        <w:rPr>
          <w:rFonts w:hint="eastAsia" w:ascii="仿宋_GB2312" w:hAnsi="华文仿宋" w:eastAsia="仿宋_GB2312" w:cs="Times New Roman"/>
          <w:b/>
          <w:bCs/>
          <w:sz w:val="32"/>
          <w:szCs w:val="32"/>
        </w:rPr>
        <w:t>文献资源规模逐步扩大</w:t>
      </w:r>
      <w:r>
        <w:rPr>
          <w:rFonts w:hint="eastAsia" w:ascii="仿宋_GB2312" w:eastAsia="仿宋_GB2312"/>
          <w:kern w:val="0"/>
          <w:sz w:val="32"/>
          <w:szCs w:val="32"/>
        </w:rPr>
        <w:t>。纸质图书总量由27.81万册增至36.3万册（含蒙文图书1.52万册），电子图书达到27万册。</w:t>
      </w:r>
      <w:bookmarkStart w:id="0" w:name="bookmark8"/>
    </w:p>
    <w:p>
      <w:pPr>
        <w:spacing w:line="560" w:lineRule="exact"/>
        <w:ind w:firstLine="640" w:firstLineChars="200"/>
        <w:rPr>
          <w:rFonts w:ascii="楷体_GB2312" w:hAnsi="华文仿宋" w:eastAsia="楷体_GB2312" w:cs="Times New Roman"/>
          <w:sz w:val="32"/>
          <w:szCs w:val="32"/>
        </w:rPr>
      </w:pPr>
      <w:r>
        <w:rPr>
          <w:rFonts w:hint="eastAsia" w:ascii="楷体_GB2312" w:hAnsi="楷体" w:eastAsia="楷体_GB2312" w:cs="楷体"/>
          <w:bCs/>
          <w:sz w:val="32"/>
          <w:szCs w:val="32"/>
        </w:rPr>
        <w:t>（</w:t>
      </w:r>
      <w:bookmarkEnd w:id="0"/>
      <w:r>
        <w:rPr>
          <w:rFonts w:hint="eastAsia" w:ascii="楷体_GB2312" w:hAnsi="楷体" w:eastAsia="楷体_GB2312" w:cs="楷体"/>
          <w:bCs/>
          <w:sz w:val="32"/>
          <w:szCs w:val="32"/>
        </w:rPr>
        <w:t>二）“十三五”主要工作成就</w:t>
      </w:r>
    </w:p>
    <w:p>
      <w:pPr>
        <w:spacing w:line="560" w:lineRule="exact"/>
        <w:ind w:firstLine="643" w:firstLineChars="200"/>
        <w:rPr>
          <w:rFonts w:ascii="仿宋_GB2312" w:hAnsi="仿宋_GB2312" w:eastAsia="仿宋_GB2312" w:cs="仿宋_GB2312"/>
          <w:color w:val="000000" w:themeColor="text1"/>
          <w:sz w:val="32"/>
          <w:szCs w:val="32"/>
        </w:rPr>
      </w:pPr>
      <w:r>
        <w:rPr>
          <w:rFonts w:hint="eastAsia" w:ascii="仿宋_GB2312" w:hAnsi="华文仿宋" w:eastAsia="仿宋_GB2312" w:cs="Times New Roman"/>
          <w:b/>
          <w:sz w:val="32"/>
          <w:szCs w:val="32"/>
        </w:rPr>
        <w:t>党对学院的领导更加全面更加有力。</w:t>
      </w:r>
      <w:r>
        <w:rPr>
          <w:rFonts w:hint="eastAsia" w:ascii="仿宋_GB2312" w:hAnsi="仿宋_GB2312" w:eastAsia="仿宋_GB2312" w:cs="仿宋_GB2312"/>
          <w:color w:val="000000" w:themeColor="text1"/>
          <w:sz w:val="32"/>
          <w:szCs w:val="32"/>
        </w:rPr>
        <w:t>严格执行党委领导下的校长负责制、民主集中制和“三重一大”事项集体决策制度，制定印发了《学院党委政治责任清单》，切实强化了党委的集中统一领导和基层党组织的责任落实。深入系统地学习了党的十九大、十九届二中、三中、四中、五中全会精神，认真贯彻落实习近平总书记关于教育、民族工作的重要论述以及对内蒙古重要讲话重要指示批示精神，切实增强了“四个意识”、坚定了“四个自信”、做到了“两个维护”。持续实施了高校党组织“对标争先”建设计划，扎实开展了“最强党支部”建设和“双带头人”培育，有力推动了各级党组织全面进步、全面过硬；坚持正确选人用人导向，进一步优化了干部队伍的年龄结构、知识结构和专业结构。建立了“从严治党+教学管理”考核指标体系，制定印发了《党建工作考核指标细则》，严格落实党组织书记述职评议制度，压紧压实了党建责任，切实推动了党建工作与业务工作深度融合。</w:t>
      </w:r>
    </w:p>
    <w:p>
      <w:pPr>
        <w:spacing w:line="560" w:lineRule="exact"/>
        <w:ind w:firstLine="643" w:firstLineChars="200"/>
        <w:rPr>
          <w:rFonts w:ascii="仿宋_GB2312" w:hAnsi="华文仿宋" w:eastAsia="仿宋_GB2312" w:cs="Times New Roman"/>
          <w:b/>
          <w:sz w:val="32"/>
          <w:szCs w:val="32"/>
        </w:rPr>
      </w:pPr>
      <w:r>
        <w:rPr>
          <w:rFonts w:hint="eastAsia" w:ascii="仿宋_GB2312" w:hAnsi="华文仿宋" w:eastAsia="仿宋_GB2312" w:cs="Times New Roman"/>
          <w:b/>
          <w:sz w:val="32"/>
          <w:szCs w:val="32"/>
        </w:rPr>
        <w:t>“三全育人”体系初步构建。</w:t>
      </w:r>
      <w:r>
        <w:rPr>
          <w:rFonts w:hint="eastAsia" w:ascii="仿宋_GB2312" w:hAnsi="华文仿宋" w:eastAsia="仿宋_GB2312" w:cs="Times New Roman"/>
          <w:bCs/>
          <w:sz w:val="32"/>
          <w:szCs w:val="32"/>
        </w:rPr>
        <w:t>聚焦立德树人根本任务，制定了《关于进一步加强和改进思想政治工作实施方案》，确定了“思想引领、固本强基、课堂教学、校园文化、实践养成、关爱成长”六项铸魂工程，将思想政治工作融入学生成长全方位、全过程，初步构建起“党建引领、多元共治、六核驱动”的思想政治工作新格局。</w:t>
      </w:r>
      <w:r>
        <w:rPr>
          <w:rFonts w:hint="eastAsia" w:ascii="仿宋_GB2312" w:eastAsia="仿宋_GB2312"/>
          <w:kern w:val="0"/>
          <w:sz w:val="32"/>
          <w:szCs w:val="32"/>
        </w:rPr>
        <w:t>校园文化建设取得实质性进展，各系以“一系一品”建设为抓手，分别打造了思政工作品牌，化学工程系成功申请到自治区高校思想政治工作“三全育人”综合改革院系试点项目，强化了示范引领带动作用；先后举办五届校园文化艺术节，各类文体活动贯穿全年。思想政治理论课主渠道作用有效发挥，创建了“名师工作室”，深入推进了课程育人，实现了思政课程与课程思政同向同行。第二课堂育人成果突出，共组建218支“三下乡”青年服务团队，深入到142个城市、乡村开展志愿服务活动，先后获得国家级荣誉3项、自治区级荣誉19项，2019年我院第二课堂活动荣登团中央榜单，人均创建数量位列全国第13名。</w:t>
      </w:r>
    </w:p>
    <w:p>
      <w:pPr>
        <w:spacing w:line="560" w:lineRule="exact"/>
        <w:ind w:firstLine="643" w:firstLineChars="200"/>
        <w:rPr>
          <w:rFonts w:ascii="仿宋_GB2312" w:eastAsia="仿宋_GB2312"/>
          <w:kern w:val="0"/>
          <w:sz w:val="32"/>
          <w:szCs w:val="32"/>
        </w:rPr>
      </w:pPr>
      <w:r>
        <w:rPr>
          <w:rFonts w:hint="eastAsia" w:ascii="仿宋_GB2312" w:hAnsi="华文仿宋" w:eastAsia="仿宋_GB2312" w:cs="Times New Roman"/>
          <w:b/>
          <w:sz w:val="32"/>
          <w:szCs w:val="32"/>
        </w:rPr>
        <w:t>人才培养模式不断创新。</w:t>
      </w:r>
      <w:r>
        <w:rPr>
          <w:rFonts w:hint="eastAsia" w:ascii="仿宋_GB2312" w:hAnsi="华文仿宋" w:eastAsia="仿宋_GB2312" w:cs="Times New Roman"/>
          <w:bCs/>
          <w:sz w:val="32"/>
          <w:szCs w:val="32"/>
        </w:rPr>
        <w:t>持续深化产教融合、校企合作，</w:t>
      </w:r>
      <w:r>
        <w:rPr>
          <w:rFonts w:hint="eastAsia" w:ascii="仿宋_GB2312" w:eastAsia="仿宋_GB2312"/>
          <w:kern w:val="0"/>
          <w:sz w:val="32"/>
          <w:szCs w:val="32"/>
        </w:rPr>
        <w:t>2016年，学院被确定为呼伦贝尔市“双元培育”改革试点单位，经过5年探索实践，初步形成具有职业教育特色的“双元培育”人才培养模式和办学模式。通过订单培养、现代学徒制等方式，先后与呼伦贝尔东北阜丰、金新化工、大连船舶、厦门天马微电子等大型企业建立合作关系，促进了专业与产业对接，同步推进“校中厂”“厂中校”建设，建成2家校内企业，完善工学结合育人模式，增强了职业教育的适应性；加入海尔智能制造职业教育集团等职业教育联盟，被海尔集团评为“知行合一示范基地”，被敏实集团授予“优质合作院校”；积极推动集团化办学，举办两届岭西职教集团理事大会，成员单位达60家，有效推进了“双元培育”；与呼伦贝尔学院联办应用化工技术、旅游管理、学前教育、会计、计算机应用、护理、机电一体化技术等7个专业的高职本科，为学生搭建多路径成才“立交桥”，毕业生“双证书”率由72.38%提升至75.7%。</w:t>
      </w:r>
    </w:p>
    <w:p>
      <w:pPr>
        <w:spacing w:line="560" w:lineRule="exact"/>
        <w:ind w:firstLine="643" w:firstLineChars="200"/>
        <w:rPr>
          <w:rFonts w:ascii="仿宋_GB2312" w:eastAsia="仿宋_GB2312"/>
          <w:kern w:val="0"/>
          <w:sz w:val="32"/>
          <w:szCs w:val="32"/>
        </w:rPr>
      </w:pPr>
      <w:r>
        <w:rPr>
          <w:rFonts w:hint="eastAsia" w:ascii="仿宋_GB2312" w:hAnsi="华文仿宋" w:eastAsia="仿宋_GB2312" w:cs="Times New Roman"/>
          <w:b/>
          <w:sz w:val="32"/>
          <w:szCs w:val="32"/>
        </w:rPr>
        <w:t>师资队伍建设持续加强。</w:t>
      </w:r>
      <w:r>
        <w:rPr>
          <w:rFonts w:hint="eastAsia" w:ascii="仿宋_GB2312" w:eastAsia="仿宋_GB2312"/>
          <w:kern w:val="0"/>
          <w:sz w:val="32"/>
          <w:szCs w:val="32"/>
        </w:rPr>
        <w:t>柔性引进四类人才共计28人，其中：客座教授6名，大师（工匠）3名，兼职教授10名，高层次团队1个（9名博士），截至2020年底，学院共有专任教师536名，其中，研究生以上学历教师162名，“双师型”教师218名。建立健全了初级、中级、副高级职称自主评审机制。将师德师风建设贯穿教师管理全过程，实行了师德失范一票否决制，构建了教育、宣传、考核、监督与奖惩相结合的考核评价长效机制。</w:t>
      </w:r>
    </w:p>
    <w:p>
      <w:pPr>
        <w:spacing w:line="560" w:lineRule="exact"/>
        <w:ind w:firstLine="643" w:firstLineChars="200"/>
        <w:rPr>
          <w:rFonts w:ascii="仿宋_GB2312" w:eastAsia="仿宋_GB2312"/>
          <w:kern w:val="0"/>
          <w:sz w:val="32"/>
          <w:szCs w:val="32"/>
        </w:rPr>
      </w:pPr>
      <w:r>
        <w:rPr>
          <w:rFonts w:hint="eastAsia" w:ascii="仿宋_GB2312" w:hAnsi="华文仿宋" w:eastAsia="仿宋_GB2312" w:cs="Times New Roman"/>
          <w:b/>
          <w:sz w:val="32"/>
          <w:szCs w:val="32"/>
        </w:rPr>
        <w:t>社会服务能力显著增强。</w:t>
      </w:r>
      <w:r>
        <w:rPr>
          <w:rFonts w:hint="eastAsia" w:ascii="仿宋_GB2312" w:eastAsia="仿宋_GB2312"/>
          <w:kern w:val="0"/>
          <w:sz w:val="32"/>
          <w:szCs w:val="32"/>
        </w:rPr>
        <w:t>与东北财经大学、包头医学院等6所高校联办60多个专业的函授与远程教育，促进了学历教育和非学历教育协调发展。面向社会开展28个职业、52个工种的职业技能培训、等级认定和考试，年进行各类技能培训、等级认定、考试规模在2.5万余人次以上。</w:t>
      </w:r>
    </w:p>
    <w:p>
      <w:pPr>
        <w:spacing w:line="560" w:lineRule="exact"/>
        <w:ind w:firstLine="643" w:firstLineChars="200"/>
        <w:rPr>
          <w:rFonts w:ascii="仿宋_GB2312" w:hAnsi="华文仿宋" w:eastAsia="仿宋_GB2312" w:cs="Times New Roman"/>
          <w:b/>
          <w:sz w:val="32"/>
          <w:szCs w:val="32"/>
        </w:rPr>
      </w:pPr>
      <w:r>
        <w:rPr>
          <w:rFonts w:hint="eastAsia" w:ascii="仿宋_GB2312" w:hAnsi="华文仿宋" w:eastAsia="仿宋_GB2312" w:cs="Times New Roman"/>
          <w:b/>
          <w:sz w:val="32"/>
          <w:szCs w:val="32"/>
        </w:rPr>
        <w:t>依法办学水平大幅提高。</w:t>
      </w:r>
      <w:r>
        <w:rPr>
          <w:rFonts w:hint="eastAsia" w:ascii="仿宋_GB2312" w:hAnsi="华文仿宋" w:eastAsia="仿宋_GB2312" w:cs="Times New Roman"/>
          <w:bCs/>
          <w:sz w:val="32"/>
          <w:szCs w:val="32"/>
        </w:rPr>
        <w:t>建立了以学院《章程》为统领的制度体系，编印了内含6个分册、398项制度的《学院制度汇编》，健全了党政分工明晰、内部管理有序、办事流程规范的权力运行机制。内部质量保证体系诊断与改进系统正式上线运行，依托质量目标管理、效能管理、质量数据分析预警等七个平台，强化了制度执行的监督与评价，推动了制度效能转化为管理效能。</w:t>
      </w:r>
    </w:p>
    <w:p>
      <w:pPr>
        <w:spacing w:line="560" w:lineRule="exact"/>
        <w:ind w:firstLine="643" w:firstLineChars="200"/>
        <w:rPr>
          <w:rFonts w:ascii="仿宋_GB2312" w:eastAsia="仿宋_GB2312"/>
          <w:kern w:val="0"/>
          <w:sz w:val="32"/>
          <w:szCs w:val="32"/>
        </w:rPr>
      </w:pPr>
      <w:r>
        <w:rPr>
          <w:rFonts w:hint="eastAsia" w:ascii="仿宋_GB2312" w:eastAsia="仿宋_GB2312"/>
          <w:b/>
          <w:bCs/>
          <w:kern w:val="0"/>
          <w:sz w:val="32"/>
          <w:szCs w:val="32"/>
        </w:rPr>
        <w:t>民主治理能力持续提升。</w:t>
      </w:r>
      <w:r>
        <w:rPr>
          <w:rFonts w:hint="eastAsia" w:ascii="仿宋_GB2312" w:eastAsia="仿宋_GB2312"/>
          <w:kern w:val="0"/>
          <w:sz w:val="32"/>
          <w:szCs w:val="32"/>
        </w:rPr>
        <w:t>全面落实教职工参与民主管理机制，召开了学院第一届“双代会”，发挥了双代会民主决策、民主监督作用；成立了学术委员会和教学工作委员会等组织，在推动学院科学决策和管理方面发挥了积极作用。</w:t>
      </w:r>
    </w:p>
    <w:p>
      <w:pPr>
        <w:spacing w:line="560" w:lineRule="exact"/>
        <w:ind w:firstLine="643" w:firstLineChars="200"/>
        <w:rPr>
          <w:rFonts w:ascii="仿宋_GB2312" w:eastAsia="仿宋_GB2312"/>
          <w:kern w:val="0"/>
          <w:sz w:val="32"/>
          <w:szCs w:val="32"/>
        </w:rPr>
      </w:pPr>
      <w:r>
        <w:rPr>
          <w:rFonts w:hint="eastAsia" w:ascii="仿宋_GB2312" w:hAnsi="华文仿宋" w:eastAsia="仿宋_GB2312" w:cs="Times New Roman"/>
          <w:b/>
          <w:sz w:val="32"/>
          <w:szCs w:val="32"/>
        </w:rPr>
        <w:t>事业发展根基有力夯实。</w:t>
      </w:r>
      <w:r>
        <w:rPr>
          <w:rFonts w:hint="eastAsia" w:ascii="仿宋_GB2312" w:eastAsia="仿宋_GB2312"/>
          <w:kern w:val="0"/>
          <w:sz w:val="32"/>
          <w:szCs w:val="32"/>
        </w:rPr>
        <w:t>启动“平安校园”建设，有力保障校园安全稳定和师生人身财产安全。教学改革不断深化，人才培养质量进一步提高，顺利通过了自治区教育厅人才培养工作专项检查。办学吸引力持续增强，招生规模逐年扩大，毕业生去向落实率和就业质量稳步提高。建立健全了内控机制，完善了资金运作和招标采购的控制与监管机制，强化了内部审计和法律审查制度。建成了大学英语三级考试和全国大学生计算机等级考试考点，以及现代化数字化的图书馆。</w:t>
      </w:r>
      <w:bookmarkStart w:id="1" w:name="bookmark11"/>
    </w:p>
    <w:bookmarkEnd w:id="1"/>
    <w:p>
      <w:pPr>
        <w:spacing w:line="560" w:lineRule="exact"/>
        <w:ind w:firstLine="640" w:firstLineChars="200"/>
        <w:rPr>
          <w:rFonts w:ascii="黑体" w:hAnsi="黑体" w:eastAsia="黑体"/>
          <w:sz w:val="32"/>
          <w:szCs w:val="32"/>
        </w:rPr>
      </w:pPr>
      <w:r>
        <w:rPr>
          <w:rFonts w:hint="eastAsia" w:ascii="黑体" w:hAnsi="黑体" w:eastAsia="黑体"/>
          <w:sz w:val="32"/>
          <w:szCs w:val="32"/>
        </w:rPr>
        <w:t>二、发展机遇</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（一）</w:t>
      </w:r>
      <w:r>
        <w:rPr>
          <w:rFonts w:ascii="仿宋_GB2312" w:eastAsia="仿宋_GB2312"/>
          <w:kern w:val="0"/>
          <w:sz w:val="32"/>
          <w:szCs w:val="32"/>
        </w:rPr>
        <w:t>习近平总书记</w:t>
      </w:r>
      <w:r>
        <w:rPr>
          <w:rFonts w:hint="eastAsia" w:ascii="仿宋_GB2312" w:eastAsia="仿宋_GB2312"/>
          <w:kern w:val="0"/>
          <w:sz w:val="32"/>
          <w:szCs w:val="32"/>
        </w:rPr>
        <w:t>2021年4月</w:t>
      </w:r>
      <w:r>
        <w:rPr>
          <w:rFonts w:ascii="仿宋_GB2312" w:eastAsia="仿宋_GB2312"/>
          <w:kern w:val="0"/>
          <w:sz w:val="32"/>
          <w:szCs w:val="32"/>
        </w:rPr>
        <w:t>对职业教育工作</w:t>
      </w:r>
      <w:r>
        <w:rPr>
          <w:rFonts w:hint="eastAsia" w:ascii="仿宋_GB2312" w:eastAsia="仿宋_GB2312"/>
          <w:kern w:val="0"/>
          <w:sz w:val="32"/>
          <w:szCs w:val="32"/>
        </w:rPr>
        <w:t>作出的</w:t>
      </w:r>
      <w:r>
        <w:rPr>
          <w:rFonts w:ascii="仿宋_GB2312" w:eastAsia="仿宋_GB2312"/>
          <w:kern w:val="0"/>
          <w:sz w:val="32"/>
          <w:szCs w:val="32"/>
        </w:rPr>
        <w:t>重要指示强调，在全面建设社会主义现代化国家新征程中，职业教育前途广阔、大有可为。要坚持党的领导，坚持正确办学方向，坚持立德树人，优化职业教育类型定位，深化产教融合、校企合作，深入推进育人方式、办学模式、管理体制、保障机制改革，稳步发展职业本科教育，建设一批高水平职业院校和专业，推动职普融通，增强职业教育适应性，加快构建现代职业教育体系，培养更多高素质技术技能人才、能工巧匠、大国工匠。</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（二）</w:t>
      </w:r>
      <w:r>
        <w:rPr>
          <w:rFonts w:ascii="仿宋_GB2312" w:eastAsia="仿宋_GB2312"/>
          <w:kern w:val="0"/>
          <w:sz w:val="32"/>
          <w:szCs w:val="32"/>
        </w:rPr>
        <w:t>全国职业教育大会明确指出，坚持立德树人，优化类型定位，加快构建现代职业教育体系。一体化设计中职、高职、本科职业教育培养体系，深化</w:t>
      </w:r>
      <w:r>
        <w:rPr>
          <w:rFonts w:hint="eastAsia" w:ascii="仿宋_GB2312" w:eastAsia="仿宋_GB2312"/>
          <w:kern w:val="0"/>
          <w:sz w:val="32"/>
          <w:szCs w:val="32"/>
        </w:rPr>
        <w:t>“</w:t>
      </w:r>
      <w:r>
        <w:rPr>
          <w:rFonts w:ascii="仿宋_GB2312" w:eastAsia="仿宋_GB2312"/>
          <w:kern w:val="0"/>
          <w:sz w:val="32"/>
          <w:szCs w:val="32"/>
        </w:rPr>
        <w:t>三教</w:t>
      </w:r>
      <w:r>
        <w:rPr>
          <w:rFonts w:hint="eastAsia" w:ascii="仿宋_GB2312" w:eastAsia="仿宋_GB2312"/>
          <w:kern w:val="0"/>
          <w:sz w:val="32"/>
          <w:szCs w:val="32"/>
        </w:rPr>
        <w:t>”（教师、教材、教法）</w:t>
      </w:r>
      <w:r>
        <w:rPr>
          <w:rFonts w:ascii="仿宋_GB2312" w:eastAsia="仿宋_GB2312"/>
          <w:kern w:val="0"/>
          <w:sz w:val="32"/>
          <w:szCs w:val="32"/>
        </w:rPr>
        <w:t>改革，</w:t>
      </w:r>
      <w:r>
        <w:rPr>
          <w:rFonts w:hint="eastAsia" w:ascii="仿宋_GB2312" w:eastAsia="仿宋_GB2312"/>
          <w:kern w:val="0"/>
          <w:sz w:val="32"/>
          <w:szCs w:val="32"/>
        </w:rPr>
        <w:t>“</w:t>
      </w:r>
      <w:r>
        <w:rPr>
          <w:rFonts w:ascii="仿宋_GB2312" w:eastAsia="仿宋_GB2312"/>
          <w:kern w:val="0"/>
          <w:sz w:val="32"/>
          <w:szCs w:val="32"/>
        </w:rPr>
        <w:t>岗课赛证</w:t>
      </w:r>
      <w:r>
        <w:rPr>
          <w:rFonts w:hint="eastAsia" w:ascii="仿宋_GB2312" w:eastAsia="仿宋_GB2312"/>
          <w:kern w:val="0"/>
          <w:sz w:val="32"/>
          <w:szCs w:val="32"/>
        </w:rPr>
        <w:t>”</w:t>
      </w:r>
      <w:r>
        <w:rPr>
          <w:rFonts w:ascii="仿宋_GB2312" w:eastAsia="仿宋_GB2312"/>
          <w:kern w:val="0"/>
          <w:sz w:val="32"/>
          <w:szCs w:val="32"/>
        </w:rPr>
        <w:t>综合育人，提升教育质量。健全多元办学格局，细化产教融合、校企合作政策，探索符合职业教育特点的评价办法。</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三）《国家职业教育改革实施方案》（职教20条）中明确，完善职业教育和培训体系，健全育人机制和评价机制，形成产教融合、多元办学、协调开放的局面，推动“三教”改革、1+X证书制度、本科层次职业教育制度、职教高考制度四项改革，实施国家标准、“双高”计划、教师质量提升、高水平实训基地、高职扩招五大举措。</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四）教育部等九部门印发的《职业教育提质培优行动计划（2020—2023年）》中明确，办好公平有质量、类型特色突出的职业教育，提质培优、增值赋能、以质图强，加快推进职业教育现代化，更好地支撑我国经济社会持续健康发展。</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五）教育部《关于深化职业教育教学改革全面提高人才培养质量的若干意见》在落实立德树人根本任务、改善专业结构和布局、提升系统化培养水平、推进产教深度融合、强化教学规范管理、完善教学保障机制等六个方面提出了具体政策措施。</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（六）教育部、财政部</w:t>
      </w:r>
      <w:r>
        <w:rPr>
          <w:rFonts w:ascii="仿宋_GB2312" w:eastAsia="仿宋_GB2312"/>
          <w:kern w:val="0"/>
          <w:sz w:val="32"/>
          <w:szCs w:val="32"/>
        </w:rPr>
        <w:t>《关于实施中国特色高水平高职学校和专业建设计划的意见》</w:t>
      </w:r>
      <w:r>
        <w:rPr>
          <w:rFonts w:hint="eastAsia" w:ascii="仿宋_GB2312" w:eastAsia="仿宋_GB2312"/>
          <w:kern w:val="0"/>
          <w:sz w:val="32"/>
          <w:szCs w:val="32"/>
        </w:rPr>
        <w:t>中明确，到2022年，列入计划的高职学校和专业群办学水平、服务能力、国际影响显著提升，为职业教育改革发展和培养千万计的高素质技术技能人才发挥示范引领作用，使职业教育成为支撑国家战略和地方经济社会发展的重要力量。到2035年，一批高职学校和专业群达到国际先进水平，引领职业教育实现现代化，为促进经济社会发展和提高国家竞争力提供优质人才资源支撑。职业教育高质量发展的政策、制度、标准体系更加成熟完善，形成中国特色职业教育发展模式。</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七）教育部《深化新时代教育评价改革总体方案》提出改革目标：立德树人落实机制更加完善，引导教师潜心育人的评价制度更加健全，促进学生全面发展的评价办法更加多元，社会选人用人方式更加科学。到2035年，基本形成富有时代特征、彰显中国特色、体现世界水平的教育评价体系。</w:t>
      </w:r>
    </w:p>
    <w:p>
      <w:pPr>
        <w:spacing w:line="560" w:lineRule="exact"/>
        <w:ind w:firstLine="640" w:firstLineChars="200"/>
        <w:rPr>
          <w:rFonts w:ascii="仿宋_GB2312" w:eastAsia="仿宋_GB2312"/>
          <w:kern w:val="0"/>
          <w:sz w:val="32"/>
          <w:szCs w:val="32"/>
        </w:rPr>
      </w:pPr>
      <w:r>
        <w:rPr>
          <w:rFonts w:ascii="仿宋_GB2312" w:eastAsia="仿宋_GB2312"/>
          <w:kern w:val="0"/>
          <w:sz w:val="32"/>
          <w:szCs w:val="32"/>
        </w:rPr>
        <w:t>（八）2020年《政府工作报告》</w:t>
      </w:r>
      <w:r>
        <w:rPr>
          <w:rFonts w:hint="eastAsia" w:ascii="仿宋_GB2312" w:eastAsia="仿宋_GB2312"/>
          <w:kern w:val="0"/>
          <w:sz w:val="32"/>
          <w:szCs w:val="32"/>
        </w:rPr>
        <w:t>中明确，今明两年职业技能培训3500万人次以上，高职院校扩招200万人，要使更多劳动者长技能、好就业。2021年《政府工作报告》指出，增强职业教育适应性，深化产教融合、校企合作，深入实施职业技能等级证书制度。</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（九）</w:t>
      </w:r>
      <w:r>
        <w:rPr>
          <w:rFonts w:ascii="仿宋_GB2312" w:eastAsia="仿宋_GB2312"/>
          <w:kern w:val="0"/>
          <w:sz w:val="32"/>
          <w:szCs w:val="32"/>
        </w:rPr>
        <w:t>教育部印发</w:t>
      </w:r>
      <w:r>
        <w:rPr>
          <w:rFonts w:hint="eastAsia" w:ascii="仿宋_GB2312" w:eastAsia="仿宋_GB2312"/>
          <w:kern w:val="0"/>
          <w:sz w:val="32"/>
          <w:szCs w:val="32"/>
        </w:rPr>
        <w:t>的</w:t>
      </w:r>
      <w:r>
        <w:rPr>
          <w:rFonts w:ascii="仿宋_GB2312" w:eastAsia="仿宋_GB2312"/>
          <w:kern w:val="0"/>
          <w:sz w:val="32"/>
          <w:szCs w:val="32"/>
        </w:rPr>
        <w:t>《深化新时代职业教育</w:t>
      </w:r>
      <w:r>
        <w:rPr>
          <w:rFonts w:hint="eastAsia" w:ascii="仿宋_GB2312" w:eastAsia="仿宋_GB2312"/>
          <w:kern w:val="0"/>
          <w:sz w:val="32"/>
          <w:szCs w:val="32"/>
        </w:rPr>
        <w:t>“</w:t>
      </w:r>
      <w:r>
        <w:rPr>
          <w:rFonts w:ascii="仿宋_GB2312" w:eastAsia="仿宋_GB2312"/>
          <w:kern w:val="0"/>
          <w:sz w:val="32"/>
          <w:szCs w:val="32"/>
        </w:rPr>
        <w:t>双师型</w:t>
      </w:r>
      <w:r>
        <w:rPr>
          <w:rFonts w:hint="eastAsia" w:ascii="仿宋_GB2312" w:eastAsia="仿宋_GB2312"/>
          <w:kern w:val="0"/>
          <w:sz w:val="32"/>
          <w:szCs w:val="32"/>
        </w:rPr>
        <w:t>”</w:t>
      </w:r>
      <w:r>
        <w:rPr>
          <w:rFonts w:ascii="仿宋_GB2312" w:eastAsia="仿宋_GB2312"/>
          <w:kern w:val="0"/>
          <w:sz w:val="32"/>
          <w:szCs w:val="32"/>
        </w:rPr>
        <w:t>教师队伍建设改革实施方案》</w:t>
      </w:r>
      <w:r>
        <w:rPr>
          <w:rFonts w:hint="eastAsia" w:ascii="仿宋_GB2312" w:eastAsia="仿宋_GB2312"/>
          <w:kern w:val="0"/>
          <w:sz w:val="32"/>
          <w:szCs w:val="32"/>
        </w:rPr>
        <w:t>中明确，</w:t>
      </w:r>
      <w:r>
        <w:rPr>
          <w:rFonts w:ascii="仿宋_GB2312" w:eastAsia="仿宋_GB2312"/>
          <w:kern w:val="0"/>
          <w:sz w:val="32"/>
          <w:szCs w:val="32"/>
        </w:rPr>
        <w:t>到2022年，职业院校</w:t>
      </w:r>
      <w:r>
        <w:rPr>
          <w:rFonts w:hint="eastAsia" w:ascii="仿宋_GB2312" w:eastAsia="仿宋_GB2312"/>
          <w:kern w:val="0"/>
          <w:sz w:val="32"/>
          <w:szCs w:val="32"/>
        </w:rPr>
        <w:t>“</w:t>
      </w:r>
      <w:r>
        <w:rPr>
          <w:rFonts w:ascii="仿宋_GB2312" w:eastAsia="仿宋_GB2312"/>
          <w:kern w:val="0"/>
          <w:sz w:val="32"/>
          <w:szCs w:val="32"/>
        </w:rPr>
        <w:t>双师型</w:t>
      </w:r>
      <w:r>
        <w:rPr>
          <w:rFonts w:hint="eastAsia" w:ascii="仿宋_GB2312" w:eastAsia="仿宋_GB2312"/>
          <w:kern w:val="0"/>
          <w:sz w:val="32"/>
          <w:szCs w:val="32"/>
        </w:rPr>
        <w:t>”</w:t>
      </w:r>
      <w:r>
        <w:rPr>
          <w:rFonts w:ascii="仿宋_GB2312" w:eastAsia="仿宋_GB2312"/>
          <w:kern w:val="0"/>
          <w:sz w:val="32"/>
          <w:szCs w:val="32"/>
        </w:rPr>
        <w:t>教师占专业课教师的比例超过一半，建设100家校企合作的</w:t>
      </w:r>
      <w:r>
        <w:rPr>
          <w:rFonts w:hint="eastAsia" w:ascii="仿宋_GB2312" w:eastAsia="仿宋_GB2312"/>
          <w:kern w:val="0"/>
          <w:sz w:val="32"/>
          <w:szCs w:val="32"/>
        </w:rPr>
        <w:t>“</w:t>
      </w:r>
      <w:r>
        <w:rPr>
          <w:rFonts w:ascii="仿宋_GB2312" w:eastAsia="仿宋_GB2312"/>
          <w:kern w:val="0"/>
          <w:sz w:val="32"/>
          <w:szCs w:val="32"/>
        </w:rPr>
        <w:t>双师型</w:t>
      </w:r>
      <w:r>
        <w:rPr>
          <w:rFonts w:hint="eastAsia" w:ascii="仿宋_GB2312" w:eastAsia="仿宋_GB2312"/>
          <w:kern w:val="0"/>
          <w:sz w:val="32"/>
          <w:szCs w:val="32"/>
        </w:rPr>
        <w:t>”</w:t>
      </w:r>
      <w:r>
        <w:rPr>
          <w:rFonts w:ascii="仿宋_GB2312" w:eastAsia="仿宋_GB2312"/>
          <w:kern w:val="0"/>
          <w:sz w:val="32"/>
          <w:szCs w:val="32"/>
        </w:rPr>
        <w:t>教师培养培训基地和100个国家级企业实践基地，选派一大批专业带头人和骨干教师出国研修访学，建成360个国家级职业教育教师教学创新团队，教师按照国家职业标准和教学标准开展教学、培训和评价的能力全面提升，教师分工协作进行模块化教学的模式全面实施，有力保障1+X证书制度试点工作，辐射带动各地各校</w:t>
      </w:r>
      <w:r>
        <w:rPr>
          <w:rFonts w:hint="eastAsia" w:ascii="仿宋_GB2312" w:eastAsia="仿宋_GB2312"/>
          <w:kern w:val="0"/>
          <w:sz w:val="32"/>
          <w:szCs w:val="32"/>
        </w:rPr>
        <w:t>“</w:t>
      </w:r>
      <w:r>
        <w:rPr>
          <w:rFonts w:ascii="仿宋_GB2312" w:eastAsia="仿宋_GB2312"/>
          <w:kern w:val="0"/>
          <w:sz w:val="32"/>
          <w:szCs w:val="32"/>
        </w:rPr>
        <w:t>双师型</w:t>
      </w:r>
      <w:r>
        <w:rPr>
          <w:rFonts w:hint="eastAsia" w:ascii="仿宋_GB2312" w:eastAsia="仿宋_GB2312"/>
          <w:kern w:val="0"/>
          <w:sz w:val="32"/>
          <w:szCs w:val="32"/>
        </w:rPr>
        <w:t>”</w:t>
      </w:r>
      <w:r>
        <w:rPr>
          <w:rFonts w:ascii="仿宋_GB2312" w:eastAsia="仿宋_GB2312"/>
          <w:kern w:val="0"/>
          <w:sz w:val="32"/>
          <w:szCs w:val="32"/>
        </w:rPr>
        <w:t>教师队伍建设，为全面提高复合型技术技能人才培养质量提供强有力的师资支撑。</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（十）《职业院校全面开展职业培训 促进就业创业行动计划》（教育部办公厅等十四个部门印发）中明确，到2022年，职业院校面向社会广泛开展职业培训，培训理念更加先进，培训层次更加完善，培训课程资源更加丰富，培训类型与形式更加多样；政府引导、行业参与、校企合作的多方协同培训机制基本建立，培训能力和服务就业创业能力显著增强；职业院校成为开展职业培训的重要阵地，学历教育与培训并举并重的职业教育办学格局基本形成。</w:t>
      </w:r>
    </w:p>
    <w:p>
      <w:pPr>
        <w:spacing w:line="560" w:lineRule="exact"/>
        <w:rPr>
          <w:rFonts w:ascii="方正小标宋简体" w:hAnsi="黑体" w:eastAsia="方正小标宋简体"/>
          <w:sz w:val="32"/>
          <w:szCs w:val="32"/>
        </w:rPr>
      </w:pPr>
    </w:p>
    <w:p>
      <w:pPr>
        <w:spacing w:line="560" w:lineRule="exact"/>
        <w:jc w:val="center"/>
        <w:rPr>
          <w:rFonts w:ascii="方正小标宋简体" w:hAnsi="黑体" w:eastAsia="方正小标宋简体"/>
          <w:sz w:val="32"/>
          <w:szCs w:val="32"/>
        </w:rPr>
      </w:pPr>
      <w:r>
        <w:rPr>
          <w:rFonts w:hint="eastAsia" w:ascii="方正小标宋简体" w:hAnsi="黑体" w:eastAsia="方正小标宋简体"/>
          <w:sz w:val="32"/>
          <w:szCs w:val="32"/>
        </w:rPr>
        <w:t>第二部分  总体要求与目标</w:t>
      </w:r>
    </w:p>
    <w:p>
      <w:pPr>
        <w:spacing w:line="560" w:lineRule="exact"/>
        <w:ind w:firstLine="640" w:firstLineChars="200"/>
        <w:rPr>
          <w:rFonts w:ascii="黑体" w:hAnsi="黑体" w:eastAsia="黑体"/>
          <w:sz w:val="32"/>
          <w:szCs w:val="32"/>
        </w:rPr>
      </w:pPr>
    </w:p>
    <w:p>
      <w:pPr>
        <w:spacing w:line="560" w:lineRule="exact"/>
        <w:ind w:firstLine="640" w:firstLineChars="200"/>
        <w:rPr>
          <w:rFonts w:ascii="仿宋_GB2312" w:eastAsia="仿宋_GB2312"/>
          <w:kern w:val="0"/>
          <w:sz w:val="32"/>
          <w:szCs w:val="32"/>
        </w:rPr>
      </w:pPr>
      <w:r>
        <w:rPr>
          <w:rFonts w:hint="eastAsia" w:ascii="黑体" w:hAnsi="黑体" w:eastAsia="黑体"/>
          <w:sz w:val="32"/>
          <w:szCs w:val="32"/>
        </w:rPr>
        <w:t>一、指导思想</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以习近平新时代中国特色社会主义思想为指导，深入贯彻党的十九大和十九届二中、三中、四中、五中全会精神，全面贯彻落实习近平总书记关于教育的重要论述和对职业教育工作的重要指示精神，全国教育大会、全国职业教育大会精神，以及《中国教育现代化2035》《国家职业教育改革实施方案》等文件精神，以国家、自治区、呼伦贝尔市“十四五”规划纲要为遵循，秉持“</w:t>
      </w:r>
      <w:r>
        <w:fldChar w:fldCharType="begin"/>
      </w:r>
      <w:r>
        <w:instrText xml:space="preserve"> HYPERLINK "https://www.so.com/link?m=bRXH6hKxuwWTJFfiX3HC9NMYfGmTPFqnGx4d8VneC3ysx+2Z6e1+d+ZsXPSbiuWRRJqSdwVmE5+HOw2Fjrnrd45EZtWulieK/R18C0+gB+DnJcgpfrw6qip6pr5D2iom5tWyk8XjAr9d7BmkPJSCVHdfLV+ABZwZRtZdGxWqLhC6UdWejTsqn+OdV9zHw/50NqcdYaOqZ3LqlVsF2xlYJuYfI1+1gqnfa6/v7BSFlgzgDqj0IuhAo2nn6rgjcueOgZ6tcWs2FFPsTaCeLrDE1p+L/PnefhIqsllKSIVqkO3A4TBc6E/6h9uovd2I=" \t "https://www.so.com/_blank" </w:instrText>
      </w:r>
      <w:r>
        <w:fldChar w:fldCharType="separate"/>
      </w:r>
      <w:r>
        <w:rPr>
          <w:rFonts w:hint="eastAsia" w:ascii="仿宋_GB2312" w:eastAsia="仿宋_GB2312"/>
          <w:kern w:val="0"/>
          <w:sz w:val="32"/>
          <w:szCs w:val="32"/>
        </w:rPr>
        <w:t>政治立校、改革强校、文化润校、服务兴校、从严治校</w:t>
      </w:r>
      <w:r>
        <w:rPr>
          <w:rFonts w:hint="eastAsia" w:ascii="仿宋_GB2312" w:eastAsia="仿宋_GB2312"/>
          <w:kern w:val="0"/>
          <w:sz w:val="32"/>
          <w:szCs w:val="32"/>
        </w:rPr>
        <w:fldChar w:fldCharType="end"/>
      </w:r>
      <w:r>
        <w:rPr>
          <w:rFonts w:hint="eastAsia" w:ascii="仿宋_GB2312" w:eastAsia="仿宋_GB2312"/>
          <w:kern w:val="0"/>
          <w:sz w:val="32"/>
          <w:szCs w:val="32"/>
        </w:rPr>
        <w:t>”的发展理念，主动适应新发展阶段，贯彻新发展理念，服务新发展格局，准确把握职业教育改革发展新机遇、新挑战，深化内涵建设，强化创新思维，优化专业布局，不断增强职业教育适应性，全面推动学院高质量发展，为推动呼伦贝尔高质量发展提供更加坚实的技术技能人才保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二、办学定位</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（一）类型层次定位</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以专科高职教育为主，兼顾中职教育，做到学历教育与非学历教育并重，育人与培训并举，构建多元开放的职业教育发展格局。</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（二）服务面向定位</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面向第二产业和第三产业，立足呼伦贝尔，辐射区内外，服务区域经济社会发展。</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（三）办学规模定位</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逐步调整招生结构，全日制在校生规模稳中有升，到2025年，总数达10000人（高职在校生保持在7200人左右，中职2800人左右）。各类培训、考试年均达2.8万人次。</w:t>
      </w:r>
    </w:p>
    <w:p>
      <w:pPr>
        <w:spacing w:line="560" w:lineRule="exact"/>
        <w:ind w:firstLine="640" w:firstLineChars="200"/>
        <w:rPr>
          <w:rFonts w:ascii="仿宋_GB2312" w:eastAsia="仿宋_GB2312"/>
          <w:kern w:val="0"/>
          <w:sz w:val="32"/>
          <w:szCs w:val="32"/>
        </w:rPr>
      </w:pPr>
      <w:r>
        <w:rPr>
          <w:rFonts w:hint="eastAsia" w:ascii="楷体_GB2312" w:eastAsia="楷体_GB2312"/>
          <w:sz w:val="32"/>
          <w:szCs w:val="32"/>
        </w:rPr>
        <w:t>（四）人才培养定位</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培养具有理想信念、公民素质和健全人格，具备一定理论基础、实践应用能力，熟练掌握专业技术技能的高素质、高水平人才。</w:t>
      </w:r>
    </w:p>
    <w:p>
      <w:pPr>
        <w:spacing w:line="560" w:lineRule="exact"/>
        <w:ind w:firstLine="640" w:firstLineChars="200"/>
        <w:rPr>
          <w:rFonts w:ascii="黑体" w:hAnsi="黑体" w:eastAsia="黑体"/>
          <w:b/>
          <w:sz w:val="32"/>
          <w:szCs w:val="32"/>
        </w:rPr>
      </w:pPr>
      <w:r>
        <w:rPr>
          <w:rFonts w:hint="eastAsia" w:ascii="黑体" w:hAnsi="黑体" w:eastAsia="黑体"/>
          <w:sz w:val="32"/>
          <w:szCs w:val="32"/>
        </w:rPr>
        <w:t>三、主要目标</w:t>
      </w:r>
    </w:p>
    <w:p>
      <w:pPr>
        <w:spacing w:line="560" w:lineRule="exact"/>
        <w:ind w:firstLine="640"/>
        <w:rPr>
          <w:rFonts w:ascii="仿宋_GB2312" w:eastAsia="仿宋_GB2312"/>
          <w:kern w:val="0"/>
          <w:sz w:val="32"/>
          <w:szCs w:val="32"/>
        </w:rPr>
      </w:pPr>
      <w:r>
        <w:rPr>
          <w:rFonts w:hint="eastAsia" w:ascii="仿宋_GB2312" w:eastAsia="仿宋_GB2312"/>
          <w:kern w:val="0"/>
          <w:sz w:val="32"/>
          <w:szCs w:val="32"/>
        </w:rPr>
        <w:t>“十四五”期间，学院将以办人民满意教育为宗旨，以推动高质量发展为主线，全面贯彻党的教育方针，全面落实立德树人根本任务，全面加强党的领导，全面深化职业教育改革，全面推进依法治校。着力提升学院在人才培养、专业（群）建设、产教融合、师资队伍、社会服务、信息化建设等方面的综合实力，力争实现跨越式发展，建成有鲜明特色、有核心优势的现代化高水平高职院校，成功跻身全国高职高专院校500强行列。</w:t>
      </w:r>
    </w:p>
    <w:p>
      <w:pPr>
        <w:spacing w:line="560" w:lineRule="exact"/>
        <w:ind w:firstLine="640"/>
        <w:rPr>
          <w:rFonts w:ascii="仿宋_GB2312" w:hAnsi="仿宋_GB2312" w:eastAsia="仿宋_GB2312" w:cs="仿宋_GB2312"/>
          <w:sz w:val="32"/>
          <w:szCs w:val="32"/>
        </w:rPr>
      </w:pPr>
      <w:r>
        <w:rPr>
          <w:rFonts w:hint="eastAsia" w:ascii="仿宋_GB2312" w:eastAsia="仿宋_GB2312"/>
          <w:b/>
          <w:sz w:val="32"/>
          <w:szCs w:val="32"/>
        </w:rPr>
        <w:t>——培养一批</w:t>
      </w:r>
      <w:r>
        <w:rPr>
          <w:rFonts w:ascii="仿宋_GB2312" w:eastAsia="仿宋_GB2312"/>
          <w:b/>
          <w:sz w:val="32"/>
          <w:szCs w:val="32"/>
        </w:rPr>
        <w:t>基础扎实、技能娴熟、品德优良</w:t>
      </w:r>
      <w:r>
        <w:rPr>
          <w:rFonts w:hint="eastAsia" w:ascii="仿宋_GB2312" w:eastAsia="仿宋_GB2312"/>
          <w:b/>
          <w:sz w:val="32"/>
          <w:szCs w:val="32"/>
        </w:rPr>
        <w:t>的</w:t>
      </w:r>
      <w:r>
        <w:rPr>
          <w:rFonts w:hint="eastAsia" w:ascii="仿宋_GB2312" w:eastAsia="仿宋_GB2312"/>
          <w:b/>
          <w:bCs/>
          <w:kern w:val="0"/>
          <w:sz w:val="32"/>
          <w:szCs w:val="32"/>
        </w:rPr>
        <w:t>应用型、复合型、创新型人才</w:t>
      </w:r>
      <w:r>
        <w:rPr>
          <w:rFonts w:hint="eastAsia" w:ascii="仿宋_GB2312" w:eastAsia="仿宋_GB2312"/>
          <w:b/>
          <w:sz w:val="32"/>
          <w:szCs w:val="32"/>
        </w:rPr>
        <w:t>。</w:t>
      </w:r>
      <w:r>
        <w:rPr>
          <w:rFonts w:hint="eastAsia" w:ascii="仿宋_GB2312" w:eastAsia="仿宋_GB2312"/>
          <w:kern w:val="0"/>
          <w:sz w:val="32"/>
          <w:szCs w:val="32"/>
        </w:rPr>
        <w:t>以立德树人为根本，以学生发展为中心，</w:t>
      </w:r>
      <w:r>
        <w:rPr>
          <w:rFonts w:hint="eastAsia" w:ascii="仿宋_GB2312" w:hAnsi="仿宋_GB2312" w:eastAsia="仿宋_GB2312" w:cs="仿宋_GB2312"/>
          <w:sz w:val="32"/>
          <w:szCs w:val="32"/>
        </w:rPr>
        <w:t>以人才培养模式改革为抓手，推动“岗课赛证融通”综合育人，</w:t>
      </w:r>
      <w:r>
        <w:rPr>
          <w:rFonts w:hint="eastAsia" w:ascii="仿宋_GB2312" w:eastAsia="仿宋_GB2312"/>
          <w:kern w:val="0"/>
          <w:sz w:val="32"/>
          <w:szCs w:val="32"/>
        </w:rPr>
        <w:t>建成有利于学生成长、成才、成功的课程体系、评价体系和管理体系</w:t>
      </w:r>
      <w:r>
        <w:rPr>
          <w:rFonts w:hint="eastAsia" w:ascii="仿宋_GB2312" w:hAnsi="仿宋_GB2312" w:eastAsia="仿宋_GB2312" w:cs="仿宋_GB2312"/>
          <w:sz w:val="32"/>
          <w:szCs w:val="32"/>
        </w:rPr>
        <w:t>，培养更多新时代技术人才和高水平技能人才。</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——建设一系列特色鲜明、服务本土、极富潜力的专业（群）。</w:t>
      </w:r>
      <w:r>
        <w:rPr>
          <w:rFonts w:hint="eastAsia" w:ascii="仿宋_GB2312" w:hAnsi="仿宋_GB2312" w:eastAsia="仿宋_GB2312" w:cs="仿宋_GB2312"/>
          <w:color w:val="000000" w:themeColor="text1"/>
          <w:sz w:val="32"/>
          <w:szCs w:val="32"/>
        </w:rPr>
        <w:t>落实提质培优行动计划，依托特色专业、优势专业，完成自治区高水平专业群建设项目，推动特色专业、优势专业</w:t>
      </w:r>
      <w:r>
        <w:rPr>
          <w:rFonts w:hint="eastAsia" w:ascii="仿宋_GB2312" w:eastAsia="仿宋_GB2312"/>
          <w:kern w:val="0"/>
          <w:sz w:val="32"/>
          <w:szCs w:val="32"/>
        </w:rPr>
        <w:t>在职普融通、育训结合方面发挥更大优势。</w:t>
      </w:r>
      <w:r>
        <w:rPr>
          <w:rFonts w:hint="eastAsia" w:ascii="仿宋_GB2312" w:eastAsia="仿宋_GB2312"/>
          <w:sz w:val="32"/>
          <w:szCs w:val="32"/>
        </w:rPr>
        <w:t>持续夯实专业标准化建设基础，建立健全专业认证和评估体系，不断提高专业建设质量。</w:t>
      </w:r>
    </w:p>
    <w:p>
      <w:pPr>
        <w:spacing w:line="560" w:lineRule="exact"/>
        <w:ind w:firstLine="640"/>
        <w:rPr>
          <w:rFonts w:ascii="仿宋_GB2312" w:eastAsia="仿宋_GB2312"/>
          <w:b/>
          <w:sz w:val="32"/>
          <w:szCs w:val="32"/>
        </w:rPr>
      </w:pPr>
      <w:r>
        <w:rPr>
          <w:rFonts w:hint="eastAsia" w:ascii="仿宋_GB2312" w:eastAsia="仿宋_GB2312"/>
          <w:b/>
          <w:sz w:val="32"/>
          <w:szCs w:val="32"/>
        </w:rPr>
        <w:t>——构建一个共建共享、优势互补、协同创新的校企合作命运共同体。</w:t>
      </w:r>
      <w:r>
        <w:rPr>
          <w:rFonts w:hint="eastAsia" w:ascii="仿宋_GB2312" w:eastAsia="仿宋_GB2312"/>
          <w:bCs/>
          <w:sz w:val="32"/>
          <w:szCs w:val="32"/>
        </w:rPr>
        <w:t>深化产教融合机制改革创新，</w:t>
      </w:r>
      <w:r>
        <w:rPr>
          <w:rFonts w:hint="eastAsia" w:ascii="仿宋_GB2312" w:eastAsia="仿宋_GB2312"/>
          <w:kern w:val="0"/>
          <w:sz w:val="32"/>
          <w:szCs w:val="32"/>
        </w:rPr>
        <w:t>完善校企协同育人机制，</w:t>
      </w:r>
      <w:r>
        <w:rPr>
          <w:rFonts w:hint="eastAsia" w:ascii="仿宋_GB2312" w:eastAsia="仿宋_GB2312"/>
          <w:bCs/>
          <w:sz w:val="32"/>
          <w:szCs w:val="32"/>
        </w:rPr>
        <w:t>强化企业育人主体作用，</w:t>
      </w:r>
      <w:r>
        <w:rPr>
          <w:rFonts w:hint="eastAsia" w:ascii="仿宋_GB2312" w:eastAsia="仿宋_GB2312"/>
          <w:kern w:val="0"/>
          <w:sz w:val="32"/>
          <w:szCs w:val="32"/>
        </w:rPr>
        <w:t>推动现代产业学院建设，携手打造育人成效显著、区域产业特色鲜明、产学研用联动的校企合作命运共同体。</w:t>
      </w:r>
    </w:p>
    <w:p>
      <w:pPr>
        <w:spacing w:line="560" w:lineRule="exact"/>
        <w:ind w:firstLine="640"/>
        <w:rPr>
          <w:rFonts w:ascii="仿宋_GB2312" w:hAnsi="仿宋_GB2312" w:eastAsia="仿宋_GB2312" w:cs="仿宋_GB2312"/>
          <w:sz w:val="32"/>
          <w:szCs w:val="32"/>
        </w:rPr>
      </w:pPr>
      <w:r>
        <w:rPr>
          <w:rFonts w:hint="eastAsia" w:ascii="仿宋_GB2312" w:eastAsia="仿宋_GB2312"/>
          <w:b/>
          <w:sz w:val="32"/>
          <w:szCs w:val="32"/>
        </w:rPr>
        <w:t>——打造一支</w:t>
      </w:r>
      <w:r>
        <w:rPr>
          <w:rFonts w:ascii="仿宋_GB2312" w:eastAsia="仿宋_GB2312"/>
          <w:b/>
          <w:sz w:val="32"/>
          <w:szCs w:val="32"/>
        </w:rPr>
        <w:t>理论丰富、技术精湛、师德高尚</w:t>
      </w:r>
      <w:r>
        <w:rPr>
          <w:rFonts w:hint="eastAsia" w:ascii="仿宋_GB2312" w:eastAsia="仿宋_GB2312"/>
          <w:b/>
          <w:sz w:val="32"/>
          <w:szCs w:val="32"/>
        </w:rPr>
        <w:t>的师资队伍。</w:t>
      </w:r>
      <w:r>
        <w:rPr>
          <w:rFonts w:hint="eastAsia" w:ascii="仿宋_GB2312" w:hAnsi="仿宋_GB2312" w:eastAsia="仿宋_GB2312" w:cs="仿宋_GB2312"/>
          <w:sz w:val="32"/>
          <w:szCs w:val="32"/>
        </w:rPr>
        <w:t>深化“三教”改革，提高教师教育教学能力、专业实践能力和崇德修身能力，</w:t>
      </w:r>
      <w:r>
        <w:rPr>
          <w:rFonts w:hint="eastAsia" w:ascii="仿宋_GB2312" w:eastAsia="仿宋_GB2312"/>
          <w:kern w:val="0"/>
          <w:sz w:val="32"/>
          <w:szCs w:val="32"/>
        </w:rPr>
        <w:t>全面提升教师队伍整体素质；实施“双师”能力提升工程，注重引育结合、完善认定标准、健全激励机制，建设高素质“双师型”教师队伍；</w:t>
      </w:r>
      <w:r>
        <w:rPr>
          <w:rFonts w:hint="eastAsia" w:ascii="仿宋_GB2312" w:hAnsi="仿宋_GB2312" w:eastAsia="仿宋_GB2312" w:cs="仿宋_GB2312"/>
          <w:sz w:val="32"/>
          <w:szCs w:val="32"/>
        </w:rPr>
        <w:t>突出教师个体成长和团队建设相结合，打造优质教师团队。</w:t>
      </w:r>
    </w:p>
    <w:p>
      <w:pPr>
        <w:spacing w:line="560" w:lineRule="exact"/>
        <w:ind w:firstLine="640"/>
        <w:rPr>
          <w:rFonts w:ascii="仿宋_GB2312" w:hAnsi="仿宋_GB2312" w:eastAsia="仿宋_GB2312" w:cs="仿宋_GB2312"/>
          <w:sz w:val="32"/>
          <w:szCs w:val="32"/>
        </w:rPr>
      </w:pPr>
      <w:r>
        <w:rPr>
          <w:rFonts w:hint="eastAsia" w:ascii="仿宋_GB2312" w:eastAsia="仿宋_GB2312"/>
          <w:b/>
          <w:sz w:val="32"/>
          <w:szCs w:val="32"/>
        </w:rPr>
        <w:t>——健全一套适应生产、贴近生活、全民终身的社会培训体系。</w:t>
      </w:r>
      <w:r>
        <w:rPr>
          <w:rFonts w:hint="eastAsia" w:ascii="仿宋_GB2312" w:eastAsia="仿宋_GB2312"/>
          <w:bCs/>
          <w:sz w:val="32"/>
          <w:szCs w:val="32"/>
        </w:rPr>
        <w:t>构建</w:t>
      </w:r>
      <w:r>
        <w:rPr>
          <w:rFonts w:hint="eastAsia" w:ascii="仿宋_GB2312" w:hAnsi="仿宋_GB2312" w:eastAsia="仿宋_GB2312" w:cs="仿宋_GB2312"/>
          <w:sz w:val="32"/>
          <w:szCs w:val="32"/>
        </w:rPr>
        <w:t>全员参与、优绩优酬，经济效益和社会效益“双赢”的“大培训”格局，</w:t>
      </w:r>
      <w:r>
        <w:rPr>
          <w:rFonts w:hint="eastAsia" w:ascii="仿宋_GB2312" w:eastAsia="仿宋_GB2312"/>
          <w:kern w:val="0"/>
          <w:sz w:val="32"/>
          <w:szCs w:val="32"/>
        </w:rPr>
        <w:t>优化职业技能培训和等级认定服务</w:t>
      </w:r>
      <w:r>
        <w:rPr>
          <w:rFonts w:hint="eastAsia" w:ascii="仿宋_GB2312" w:hAnsi="仿宋_GB2312" w:eastAsia="仿宋_GB2312" w:cs="仿宋_GB2312"/>
          <w:sz w:val="32"/>
          <w:szCs w:val="32"/>
        </w:rPr>
        <w:t>；聚焦群众生产生活现实需要，</w:t>
      </w:r>
      <w:r>
        <w:rPr>
          <w:rFonts w:hint="eastAsia" w:ascii="仿宋_GB2312" w:eastAsia="仿宋_GB2312"/>
          <w:kern w:val="0"/>
          <w:sz w:val="32"/>
          <w:szCs w:val="32"/>
        </w:rPr>
        <w:t>整合职业教育资源，</w:t>
      </w:r>
      <w:r>
        <w:rPr>
          <w:rFonts w:hint="eastAsia" w:ascii="仿宋_GB2312" w:hAnsi="仿宋_GB2312" w:eastAsia="仿宋_GB2312" w:cs="仿宋_GB2312"/>
          <w:sz w:val="32"/>
          <w:szCs w:val="32"/>
        </w:rPr>
        <w:t>提升社会培训的针对性、实用性和普惠性，</w:t>
      </w:r>
      <w:r>
        <w:rPr>
          <w:rFonts w:hint="eastAsia" w:ascii="仿宋_GB2312" w:eastAsia="仿宋_GB2312"/>
          <w:kern w:val="0"/>
          <w:sz w:val="32"/>
          <w:szCs w:val="32"/>
        </w:rPr>
        <w:t>推动构建全民终身教育体系</w:t>
      </w:r>
      <w:r>
        <w:rPr>
          <w:rFonts w:hint="eastAsia" w:ascii="仿宋_GB2312" w:hAnsi="仿宋_GB2312" w:eastAsia="仿宋_GB2312" w:cs="仿宋_GB2312"/>
          <w:sz w:val="32"/>
          <w:szCs w:val="32"/>
        </w:rPr>
        <w:t>。</w:t>
      </w:r>
    </w:p>
    <w:p>
      <w:pPr>
        <w:spacing w:line="560" w:lineRule="exact"/>
        <w:ind w:firstLine="640"/>
        <w:rPr>
          <w:rFonts w:ascii="仿宋_GB2312" w:hAnsi="仿宋_GB2312" w:eastAsia="仿宋_GB2312" w:cs="仿宋_GB2312"/>
          <w:sz w:val="32"/>
          <w:szCs w:val="32"/>
        </w:rPr>
      </w:pPr>
      <w:r>
        <w:rPr>
          <w:rFonts w:hint="eastAsia" w:ascii="仿宋_GB2312" w:eastAsia="仿宋_GB2312"/>
          <w:b/>
          <w:sz w:val="32"/>
          <w:szCs w:val="32"/>
        </w:rPr>
        <w:t>——建成一个覆盖全院、服务全员、品质卓越的信息化校园。</w:t>
      </w:r>
      <w:r>
        <w:rPr>
          <w:rFonts w:hint="eastAsia" w:ascii="仿宋_GB2312" w:eastAsia="仿宋_GB2312"/>
          <w:kern w:val="0"/>
          <w:sz w:val="32"/>
          <w:szCs w:val="32"/>
        </w:rPr>
        <w:t>构建需求驱动、广泛运用、深度融合、快捷共享的信息管理和服务体系，</w:t>
      </w:r>
      <w:r>
        <w:rPr>
          <w:rFonts w:hint="eastAsia" w:ascii="仿宋_GB2312" w:eastAsia="仿宋_GB2312"/>
          <w:bCs/>
          <w:sz w:val="32"/>
          <w:szCs w:val="32"/>
        </w:rPr>
        <w:t>推动</w:t>
      </w:r>
      <w:r>
        <w:rPr>
          <w:rFonts w:hint="eastAsia" w:ascii="仿宋_GB2312" w:hAnsi="仿宋_GB2312" w:eastAsia="仿宋_GB2312" w:cs="仿宋_GB2312"/>
          <w:sz w:val="32"/>
          <w:szCs w:val="32"/>
        </w:rPr>
        <w:t>移动5G、大数据、物联网、虚拟现实等先进技术更好地服务于学院的科学决策、深化改革、综合治理，</w:t>
      </w:r>
      <w:r>
        <w:rPr>
          <w:rFonts w:hint="eastAsia" w:ascii="仿宋_GB2312" w:eastAsia="仿宋_GB2312"/>
          <w:kern w:val="0"/>
          <w:sz w:val="32"/>
          <w:szCs w:val="32"/>
        </w:rPr>
        <w:t>提升智慧校园、数字校园建设质量。</w:t>
      </w:r>
    </w:p>
    <w:p>
      <w:pPr>
        <w:spacing w:line="560" w:lineRule="exact"/>
        <w:jc w:val="center"/>
        <w:rPr>
          <w:rFonts w:ascii="方正小标宋简体" w:hAnsi="黑体" w:eastAsia="方正小标宋简体"/>
          <w:sz w:val="32"/>
          <w:szCs w:val="32"/>
        </w:rPr>
      </w:pPr>
    </w:p>
    <w:p>
      <w:pPr>
        <w:spacing w:line="560" w:lineRule="exact"/>
        <w:jc w:val="center"/>
        <w:rPr>
          <w:rFonts w:ascii="方正小标宋简体" w:hAnsi="黑体" w:eastAsia="方正小标宋简体"/>
          <w:sz w:val="32"/>
          <w:szCs w:val="32"/>
        </w:rPr>
      </w:pPr>
      <w:r>
        <w:rPr>
          <w:rFonts w:hint="eastAsia" w:ascii="方正小标宋简体" w:hAnsi="黑体" w:eastAsia="方正小标宋简体"/>
          <w:sz w:val="32"/>
          <w:szCs w:val="32"/>
        </w:rPr>
        <w:t>第三部分  发展任务举措</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一、重点任务</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（一）加强党的全面领导，重点突出政治引领与政治监督</w:t>
      </w:r>
    </w:p>
    <w:p>
      <w:pPr>
        <w:spacing w:line="560" w:lineRule="exact"/>
        <w:ind w:firstLine="643" w:firstLineChars="200"/>
        <w:rPr>
          <w:rFonts w:ascii="仿宋_GB2312" w:hAnsi="仿宋_GB2312" w:eastAsia="仿宋_GB2312" w:cs="仿宋_GB2312"/>
          <w:sz w:val="32"/>
          <w:szCs w:val="32"/>
        </w:rPr>
      </w:pPr>
      <w:r>
        <w:rPr>
          <w:rFonts w:hint="eastAsia" w:ascii="仿宋_GB2312" w:eastAsia="仿宋_GB2312"/>
          <w:b/>
          <w:sz w:val="32"/>
          <w:szCs w:val="32"/>
        </w:rPr>
        <w:t>1.坚持党委领导下的校长负责制。</w:t>
      </w:r>
      <w:r>
        <w:rPr>
          <w:rFonts w:hint="eastAsia" w:ascii="仿宋_GB2312" w:eastAsia="仿宋_GB2312"/>
          <w:bCs/>
          <w:sz w:val="32"/>
          <w:szCs w:val="32"/>
        </w:rPr>
        <w:t>进一步强化学院党委的领导核心地位，发挥院长在学院行政等各项工作中的关键作用，健全目标一致、职责明确、相互支持、及时沟通的协调机制，</w:t>
      </w:r>
      <w:r>
        <w:rPr>
          <w:rFonts w:hint="eastAsia" w:ascii="仿宋_GB2312" w:hAnsi="仿宋_GB2312" w:eastAsia="仿宋_GB2312" w:cs="仿宋_GB2312"/>
          <w:sz w:val="32"/>
          <w:szCs w:val="32"/>
        </w:rPr>
        <w:t>充分发挥党委在学院改革发展中“把方向、管大局、作决策、保落实”的作用</w:t>
      </w:r>
      <w:r>
        <w:rPr>
          <w:rFonts w:hint="eastAsia" w:ascii="仿宋_GB2312" w:eastAsia="仿宋_GB2312"/>
          <w:bCs/>
          <w:sz w:val="32"/>
          <w:szCs w:val="32"/>
        </w:rPr>
        <w:t>。完善学院《章程》</w:t>
      </w:r>
      <w:r>
        <w:rPr>
          <w:rFonts w:hint="eastAsia" w:ascii="仿宋_GB2312" w:hAnsi="仿宋_GB2312" w:eastAsia="仿宋_GB2312" w:cs="仿宋_GB2312"/>
          <w:sz w:val="32"/>
          <w:szCs w:val="32"/>
        </w:rPr>
        <w:t>《党委会议议事规则》《院长办公会议议事规则》《</w:t>
      </w:r>
      <w:r>
        <w:rPr>
          <w:rFonts w:hint="eastAsia" w:ascii="仿宋_GB2312" w:hAnsi="仿宋_GB2312" w:eastAsia="仿宋_GB2312" w:cs="仿宋_GB2312"/>
          <w:sz w:val="32"/>
          <w:szCs w:val="40"/>
        </w:rPr>
        <w:t>党委领导下的校长负责制实施细则</w:t>
      </w:r>
      <w:r>
        <w:rPr>
          <w:rFonts w:hint="eastAsia" w:ascii="仿宋_GB2312" w:hAnsi="仿宋_GB2312" w:eastAsia="仿宋_GB2312" w:cs="仿宋_GB2312"/>
          <w:sz w:val="32"/>
          <w:szCs w:val="32"/>
        </w:rPr>
        <w:t>》等制度建设，健全学院议事决策机制；实现领导班子成员谈心谈话的常态化、长效化，健全党委书记与院长、书记院长与其他班子成员定期沟通协商机制，促进学院管理工作的有序开展。</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2.扎实推进基层党组织建设。</w:t>
      </w:r>
      <w:r>
        <w:rPr>
          <w:rFonts w:hint="eastAsia" w:ascii="仿宋_GB2312" w:hAnsi="仿宋_GB2312" w:eastAsia="仿宋_GB2312" w:cs="仿宋_GB2312"/>
          <w:sz w:val="32"/>
          <w:szCs w:val="32"/>
        </w:rPr>
        <w:t>贯彻落实《中国共产党普通高等学校基层组织工作条例》，优化基层党组织设置，增强基层党组织政治功能，推动党建与学院事业发展深度融合。按照新时期高校党建工作要求，发挥业余党校功能，有计划分层次高质量开展党员教育培训。以党组织规范化标准化建设为重点，持续实施“最强党支部”建设和“双带头人”培育工程，不断增强党支部的组织力、凝聚力和战斗力。</w:t>
      </w:r>
    </w:p>
    <w:p>
      <w:pPr>
        <w:spacing w:line="560" w:lineRule="exact"/>
        <w:ind w:firstLine="643" w:firstLineChars="200"/>
        <w:rPr>
          <w:rFonts w:ascii="仿宋_GB2312" w:hAnsi="仿宋_GB2312" w:eastAsia="仿宋_GB2312" w:cs="仿宋_GB2312"/>
          <w:sz w:val="32"/>
          <w:szCs w:val="32"/>
        </w:rPr>
      </w:pPr>
      <w:r>
        <w:rPr>
          <w:rFonts w:hint="eastAsia" w:ascii="仿宋_GB2312" w:eastAsia="仿宋_GB2312"/>
          <w:b/>
          <w:sz w:val="32"/>
          <w:szCs w:val="32"/>
        </w:rPr>
        <w:t>3.强化监督责任和监督机制。</w:t>
      </w:r>
      <w:r>
        <w:rPr>
          <w:rFonts w:hint="eastAsia" w:ascii="仿宋_GB2312" w:hAnsi="仿宋_GB2312" w:eastAsia="仿宋_GB2312" w:cs="仿宋_GB2312"/>
          <w:sz w:val="32"/>
          <w:szCs w:val="32"/>
        </w:rPr>
        <w:t>持续深入推进全面从严治党，压实“两个责任”，锲而不舍落实中央八项规定精神，惩腐纠风，正风肃纪。坚持把政治监督放在首位，严明政治纪律和政治规矩，深入推进高校纪检监察体制改革，完善监督机制，形成违纪必究、失责必问、有案必查的制度机制。常态化开展日常监督，提升监督效能。正确运用好监督执纪“四种形态”，严肃追责问责。深入开展警示教育活动，以案示警，营造正气充盈、廉洁从教的校园良好政治生态。</w:t>
      </w:r>
    </w:p>
    <w:p>
      <w:pPr>
        <w:spacing w:line="560" w:lineRule="exact"/>
        <w:ind w:firstLine="640" w:firstLineChars="200"/>
        <w:rPr>
          <w:rFonts w:ascii="仿宋_GB2312" w:hAnsi="仿宋_GB2312" w:eastAsia="楷体_GB2312" w:cs="仿宋_GB2312"/>
          <w:b/>
          <w:bCs/>
          <w:sz w:val="32"/>
          <w:szCs w:val="32"/>
        </w:rPr>
      </w:pPr>
      <w:r>
        <w:rPr>
          <w:rFonts w:hint="eastAsia" w:ascii="楷体_GB2312" w:eastAsia="楷体_GB2312"/>
          <w:sz w:val="32"/>
          <w:szCs w:val="32"/>
        </w:rPr>
        <w:t>（二）健全思想政治工作体系，重点突出学思践悟与知行合一</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实施以立德树人为核心的</w:t>
      </w: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六项铸魂工程</w:t>
      </w:r>
      <w:r>
        <w:rPr>
          <w:rFonts w:hint="eastAsia" w:ascii="仿宋_GB2312" w:hAnsi="仿宋_GB2312" w:eastAsia="仿宋_GB2312" w:cs="仿宋_GB2312"/>
          <w:b/>
          <w:bCs/>
          <w:sz w:val="32"/>
          <w:szCs w:val="32"/>
        </w:rPr>
        <w:t>”。</w:t>
      </w:r>
      <w:r>
        <w:rPr>
          <w:rFonts w:hint="eastAsia" w:ascii="仿宋_GB2312" w:eastAsia="仿宋_GB2312"/>
          <w:sz w:val="32"/>
          <w:szCs w:val="32"/>
        </w:rPr>
        <w:t>坚守“为党育人，为国育才”重大责任，通过实施</w:t>
      </w:r>
      <w:bookmarkStart w:id="2" w:name="_Hlk61335037"/>
      <w:r>
        <w:rPr>
          <w:rFonts w:hint="eastAsia" w:ascii="仿宋_GB2312" w:eastAsia="仿宋_GB2312"/>
          <w:sz w:val="32"/>
          <w:szCs w:val="32"/>
        </w:rPr>
        <w:t>思想引领、固本强基、课堂教学、校园文化、实践养成、关爱成长六项铸魂工程</w:t>
      </w:r>
      <w:bookmarkEnd w:id="2"/>
      <w:bookmarkStart w:id="3" w:name="_Hlk60840844"/>
      <w:r>
        <w:rPr>
          <w:rFonts w:hint="eastAsia" w:ascii="仿宋_GB2312" w:eastAsia="仿宋_GB2312"/>
          <w:sz w:val="32"/>
          <w:szCs w:val="32"/>
        </w:rPr>
        <w:t>，健全思想政治工作体系，提升思想政治工作质量。</w:t>
      </w:r>
      <w:bookmarkEnd w:id="3"/>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2.推动形成“三全育人”长效机制。</w:t>
      </w:r>
      <w:r>
        <w:rPr>
          <w:rFonts w:hint="eastAsia" w:ascii="仿宋_GB2312" w:hAnsi="仿宋_GB2312" w:eastAsia="仿宋_GB2312" w:cs="仿宋_GB2312"/>
          <w:sz w:val="32"/>
          <w:szCs w:val="32"/>
        </w:rPr>
        <w:t>完成自治区“三全育人”综合改革试点院（系）验收，形成可推广、可复制的育人模式；结合落实职业教育提质培优行动计划，全面建成“三全育人”典型院校，</w:t>
      </w:r>
      <w:r>
        <w:rPr>
          <w:rFonts w:hint="eastAsia" w:ascii="仿宋_GB2312" w:eastAsia="仿宋_GB2312"/>
          <w:sz w:val="32"/>
          <w:szCs w:val="32"/>
        </w:rPr>
        <w:t>提升育人高度、加大育人力度、增强育人效度，使学院思想政治工作更好地适应和满足学生成长诉求、时代发展要求以及社会进步需求。</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3.</w:t>
      </w:r>
      <w:r>
        <w:rPr>
          <w:rFonts w:ascii="仿宋_GB2312" w:hAnsi="仿宋_GB2312" w:eastAsia="仿宋_GB2312" w:cs="仿宋_GB2312"/>
          <w:b/>
          <w:bCs/>
          <w:sz w:val="32"/>
          <w:szCs w:val="32"/>
        </w:rPr>
        <w:t>增强文化的教育、实践、传播功能。</w:t>
      </w:r>
      <w:r>
        <w:rPr>
          <w:rFonts w:ascii="仿宋_GB2312" w:eastAsia="仿宋_GB2312"/>
          <w:sz w:val="32"/>
          <w:szCs w:val="32"/>
        </w:rPr>
        <w:t>加强文化教育</w:t>
      </w:r>
      <w:r>
        <w:rPr>
          <w:rFonts w:hint="eastAsia" w:ascii="仿宋_GB2312" w:eastAsia="仿宋_GB2312"/>
          <w:sz w:val="32"/>
          <w:szCs w:val="32"/>
        </w:rPr>
        <w:t>，以弘扬和传承中华传统文化为主线，强化社会主义核心价值观教育和铸牢中华民族共同体意识教育。培育校园文化，以“一系一品”建设为依托，广泛动员师生参与到学院精神文化、环境文化、行为文化和制度文化等建设当中，打造更多有吸引力、有代表性、有影响力的校园文化品牌；将校园文化充分融入校园建筑</w:t>
      </w:r>
      <w:r>
        <w:rPr>
          <w:rFonts w:ascii="仿宋_GB2312" w:eastAsia="仿宋_GB2312"/>
          <w:sz w:val="32"/>
          <w:szCs w:val="32"/>
        </w:rPr>
        <w:t>设计、景观</w:t>
      </w:r>
      <w:r>
        <w:rPr>
          <w:rFonts w:hint="eastAsia" w:ascii="仿宋_GB2312" w:eastAsia="仿宋_GB2312"/>
          <w:sz w:val="32"/>
          <w:szCs w:val="32"/>
        </w:rPr>
        <w:t>设计</w:t>
      </w:r>
      <w:r>
        <w:rPr>
          <w:rFonts w:ascii="仿宋_GB2312" w:eastAsia="仿宋_GB2312"/>
          <w:sz w:val="32"/>
          <w:szCs w:val="32"/>
        </w:rPr>
        <w:t>、绿化</w:t>
      </w:r>
      <w:r>
        <w:rPr>
          <w:rFonts w:hint="eastAsia" w:ascii="仿宋_GB2312" w:eastAsia="仿宋_GB2312"/>
          <w:sz w:val="32"/>
          <w:szCs w:val="32"/>
        </w:rPr>
        <w:t>设计等外在形象，以及</w:t>
      </w:r>
      <w:r>
        <w:fldChar w:fldCharType="begin"/>
      </w:r>
      <w:r>
        <w:instrText xml:space="preserve"> HYPERLINK "https://baike.so.com/doc/2891357-3051278.html" \t "https://baike.so.com/doc/_blank" </w:instrText>
      </w:r>
      <w:r>
        <w:fldChar w:fldCharType="separate"/>
      </w:r>
      <w:r>
        <w:rPr>
          <w:rFonts w:hint="eastAsia" w:ascii="仿宋_GB2312" w:eastAsia="仿宋_GB2312"/>
          <w:sz w:val="32"/>
          <w:szCs w:val="32"/>
        </w:rPr>
        <w:t>校风</w:t>
      </w:r>
      <w:r>
        <w:rPr>
          <w:rFonts w:hint="eastAsia" w:ascii="仿宋_GB2312" w:eastAsia="仿宋_GB2312"/>
          <w:sz w:val="32"/>
          <w:szCs w:val="32"/>
        </w:rPr>
        <w:fldChar w:fldCharType="end"/>
      </w:r>
      <w:r>
        <w:rPr>
          <w:rFonts w:hint="eastAsia" w:ascii="仿宋_GB2312" w:eastAsia="仿宋_GB2312"/>
          <w:sz w:val="32"/>
          <w:szCs w:val="32"/>
        </w:rPr>
        <w:t>、</w:t>
      </w:r>
      <w:r>
        <w:fldChar w:fldCharType="begin"/>
      </w:r>
      <w:r>
        <w:instrText xml:space="preserve"> HYPERLINK "https://baike.so.com/doc/5539519-5755672.html" \t "https://baike.so.com/doc/_blank" </w:instrText>
      </w:r>
      <w:r>
        <w:fldChar w:fldCharType="separate"/>
      </w:r>
      <w:r>
        <w:rPr>
          <w:rFonts w:hint="eastAsia" w:ascii="仿宋_GB2312" w:eastAsia="仿宋_GB2312"/>
          <w:sz w:val="32"/>
          <w:szCs w:val="32"/>
        </w:rPr>
        <w:t>学风</w:t>
      </w:r>
      <w:r>
        <w:rPr>
          <w:rFonts w:hint="eastAsia" w:ascii="仿宋_GB2312" w:eastAsia="仿宋_GB2312"/>
          <w:sz w:val="32"/>
          <w:szCs w:val="32"/>
        </w:rPr>
        <w:fldChar w:fldCharType="end"/>
      </w:r>
      <w:r>
        <w:rPr>
          <w:rFonts w:hint="eastAsia" w:ascii="仿宋_GB2312" w:eastAsia="仿宋_GB2312"/>
          <w:sz w:val="32"/>
          <w:szCs w:val="32"/>
        </w:rPr>
        <w:t>、教风等内在共识，营造浓厚的文化氛围。</w:t>
      </w:r>
      <w:r>
        <w:rPr>
          <w:rFonts w:ascii="仿宋_GB2312" w:eastAsia="仿宋_GB2312"/>
          <w:sz w:val="32"/>
          <w:szCs w:val="32"/>
        </w:rPr>
        <w:t>扩大文化</w:t>
      </w:r>
      <w:r>
        <w:rPr>
          <w:rFonts w:hint="eastAsia" w:ascii="仿宋_GB2312" w:eastAsia="仿宋_GB2312"/>
          <w:sz w:val="32"/>
          <w:szCs w:val="32"/>
        </w:rPr>
        <w:t>影响，利用各类宣传载体，创新宣传方式，不断提升学院的社会影响力和社会美誉度，切实增强学院的办学吸引力。</w:t>
      </w:r>
    </w:p>
    <w:p>
      <w:pPr>
        <w:spacing w:line="560" w:lineRule="exact"/>
        <w:ind w:firstLine="640" w:firstLineChars="200"/>
        <w:rPr>
          <w:rFonts w:ascii="仿宋_GB2312" w:eastAsia="楷体_GB2312"/>
          <w:sz w:val="32"/>
          <w:szCs w:val="32"/>
        </w:rPr>
      </w:pPr>
      <w:r>
        <w:rPr>
          <w:rFonts w:hint="eastAsia" w:ascii="楷体_GB2312" w:eastAsia="楷体_GB2312"/>
          <w:sz w:val="32"/>
          <w:szCs w:val="32"/>
        </w:rPr>
        <w:t>（三）打造时代新人培养高地，重点突出五育并举与改革创新</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全面提高人才培养质量。</w:t>
      </w:r>
      <w:r>
        <w:rPr>
          <w:rFonts w:ascii="仿宋_GB2312" w:eastAsia="仿宋_GB2312"/>
          <w:sz w:val="32"/>
          <w:szCs w:val="32"/>
        </w:rPr>
        <w:t>以社会需求为导向，以质量提升为核心，以</w:t>
      </w:r>
      <w:r>
        <w:rPr>
          <w:rFonts w:hint="eastAsia" w:ascii="仿宋_GB2312" w:eastAsia="仿宋_GB2312"/>
          <w:sz w:val="32"/>
          <w:szCs w:val="32"/>
        </w:rPr>
        <w:t>新时代教育评价</w:t>
      </w:r>
      <w:r>
        <w:rPr>
          <w:rFonts w:ascii="仿宋_GB2312" w:eastAsia="仿宋_GB2312"/>
          <w:sz w:val="32"/>
          <w:szCs w:val="32"/>
        </w:rPr>
        <w:t>改革为突破口</w:t>
      </w:r>
      <w:r>
        <w:rPr>
          <w:rFonts w:hint="eastAsia" w:ascii="仿宋_GB2312" w:eastAsia="仿宋_GB2312"/>
          <w:sz w:val="32"/>
          <w:szCs w:val="32"/>
        </w:rPr>
        <w:t>，以深化人才培养品牌建设为抓手，</w:t>
      </w:r>
      <w:r>
        <w:rPr>
          <w:rFonts w:ascii="仿宋_GB2312" w:eastAsia="仿宋_GB2312"/>
          <w:sz w:val="32"/>
          <w:szCs w:val="32"/>
        </w:rPr>
        <w:t>遵循人才成长规律，注重因材施教，关注学生的个性差异，发展学生的优势潜能和综合能力，努力培养</w:t>
      </w:r>
      <w:r>
        <w:rPr>
          <w:rFonts w:hint="eastAsia" w:ascii="仿宋_GB2312" w:eastAsia="仿宋_GB2312"/>
          <w:sz w:val="32"/>
          <w:szCs w:val="32"/>
        </w:rPr>
        <w:t>德智体美劳全面发展的</w:t>
      </w:r>
      <w:r>
        <w:rPr>
          <w:rFonts w:ascii="仿宋_GB2312" w:eastAsia="仿宋_GB2312"/>
          <w:sz w:val="32"/>
          <w:szCs w:val="32"/>
        </w:rPr>
        <w:t>能工巧匠、大国工匠。</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2.进一步</w:t>
      </w:r>
      <w:r>
        <w:rPr>
          <w:rFonts w:ascii="仿宋_GB2312" w:hAnsi="仿宋_GB2312" w:eastAsia="仿宋_GB2312" w:cs="仿宋_GB2312"/>
          <w:b/>
          <w:bCs/>
          <w:sz w:val="32"/>
          <w:szCs w:val="32"/>
        </w:rPr>
        <w:t>深化教育教学改革。</w:t>
      </w:r>
      <w:r>
        <w:rPr>
          <w:rFonts w:hint="eastAsia" w:ascii="仿宋_GB2312" w:eastAsia="仿宋_GB2312"/>
          <w:sz w:val="32"/>
          <w:szCs w:val="32"/>
        </w:rPr>
        <w:t>巩固</w:t>
      </w:r>
      <w:r>
        <w:rPr>
          <w:rFonts w:ascii="仿宋_GB2312" w:eastAsia="仿宋_GB2312"/>
          <w:sz w:val="32"/>
          <w:szCs w:val="32"/>
        </w:rPr>
        <w:t>教学工作中心地位，</w:t>
      </w:r>
      <w:r>
        <w:rPr>
          <w:rFonts w:hint="eastAsia" w:ascii="仿宋_GB2312" w:eastAsia="仿宋_GB2312"/>
          <w:sz w:val="32"/>
          <w:szCs w:val="32"/>
        </w:rPr>
        <w:t>坚持五育并举，</w:t>
      </w:r>
      <w:r>
        <w:rPr>
          <w:rFonts w:ascii="仿宋_GB2312" w:eastAsia="仿宋_GB2312"/>
          <w:sz w:val="32"/>
          <w:szCs w:val="32"/>
        </w:rPr>
        <w:t>创新教育教学方法，强化内涵发展和特色发展，科学整合三类课堂（第一课堂、第二课堂、网络课堂），丰富以学生社团、</w:t>
      </w:r>
      <w:r>
        <w:rPr>
          <w:rFonts w:hint="eastAsia" w:ascii="仿宋_GB2312" w:eastAsia="仿宋_GB2312"/>
          <w:sz w:val="32"/>
          <w:szCs w:val="32"/>
        </w:rPr>
        <w:t>校园活动</w:t>
      </w:r>
      <w:r>
        <w:rPr>
          <w:rFonts w:ascii="仿宋_GB2312" w:eastAsia="仿宋_GB2312"/>
          <w:sz w:val="32"/>
          <w:szCs w:val="32"/>
        </w:rPr>
        <w:t>等为载体的校内实践，</w:t>
      </w:r>
      <w:r>
        <w:rPr>
          <w:rFonts w:hint="eastAsia" w:ascii="仿宋_GB2312" w:eastAsia="仿宋_GB2312"/>
          <w:sz w:val="32"/>
          <w:szCs w:val="32"/>
        </w:rPr>
        <w:t>加强</w:t>
      </w:r>
      <w:r>
        <w:rPr>
          <w:rFonts w:ascii="仿宋_GB2312" w:eastAsia="仿宋_GB2312"/>
          <w:sz w:val="32"/>
          <w:szCs w:val="32"/>
        </w:rPr>
        <w:t>社会实践与创新创业教育。优化信息化教学环境，营造以学生为中心的开放式、个性化学习氛围。</w:t>
      </w:r>
    </w:p>
    <w:p>
      <w:pPr>
        <w:spacing w:line="560" w:lineRule="exact"/>
        <w:ind w:firstLine="640" w:firstLineChars="200"/>
        <w:rPr>
          <w:rFonts w:ascii="仿宋_GB2312" w:eastAsia="楷体_GB2312"/>
          <w:sz w:val="32"/>
          <w:szCs w:val="32"/>
        </w:rPr>
      </w:pPr>
      <w:r>
        <w:rPr>
          <w:rFonts w:hint="eastAsia" w:ascii="楷体_GB2312" w:eastAsia="楷体_GB2312"/>
          <w:sz w:val="32"/>
          <w:szCs w:val="32"/>
        </w:rPr>
        <w:t>（四）打造高水平专业（群），重点突出需求导向与动态调整</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1.随区域产业需求动态调整专业（群）。</w:t>
      </w:r>
      <w:r>
        <w:rPr>
          <w:rFonts w:hint="eastAsia" w:ascii="仿宋_GB2312" w:eastAsia="仿宋_GB2312"/>
          <w:sz w:val="32"/>
          <w:szCs w:val="32"/>
        </w:rPr>
        <w:t>主动服务和融入国家战略及地方经济社会与产业发展，明确重点建设专业及专业群，大力发展新兴专业、交叉专业。紧盯产业链条、市场信号、技术前沿和民生需求，及时动态调整专业设置，不断优化专业布局结构。</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2.建立完善动态调整预警机制。</w:t>
      </w:r>
      <w:r>
        <w:rPr>
          <w:rFonts w:hint="eastAsia" w:ascii="仿宋_GB2312" w:eastAsia="仿宋_GB2312"/>
          <w:sz w:val="32"/>
          <w:szCs w:val="32"/>
        </w:rPr>
        <w:t>强化招生计划调控和就业导向作用，实行专业动态调整与教师队伍、就业情况、招生计划“三挂钩”，对第一志愿报考率低、毕业生去向落实率低的专业逐步采取预警、隔年招生直至撤销的措施，确保专业设置始终符合我市经济社会发展需求。</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（五）打造产学研一体化平台，重点突出协同创新与成果转化</w:t>
      </w:r>
    </w:p>
    <w:p>
      <w:pPr>
        <w:spacing w:line="560" w:lineRule="exact"/>
        <w:ind w:firstLine="643" w:firstLineChars="200"/>
        <w:rPr>
          <w:rFonts w:ascii="仿宋_GB2312" w:eastAsia="仿宋_GB2312"/>
          <w:sz w:val="32"/>
          <w:szCs w:val="32"/>
        </w:rPr>
      </w:pPr>
      <w:bookmarkStart w:id="4" w:name="_Toc68598832"/>
      <w:r>
        <w:rPr>
          <w:rFonts w:hint="eastAsia" w:ascii="仿宋_GB2312" w:eastAsia="仿宋_GB2312"/>
          <w:b/>
          <w:bCs/>
          <w:sz w:val="32"/>
          <w:szCs w:val="32"/>
        </w:rPr>
        <w:t>1.</w:t>
      </w:r>
      <w:bookmarkEnd w:id="4"/>
      <w:r>
        <w:rPr>
          <w:rFonts w:hint="eastAsia" w:ascii="仿宋_GB2312" w:eastAsia="仿宋_GB2312"/>
          <w:b/>
          <w:bCs/>
          <w:sz w:val="32"/>
          <w:szCs w:val="32"/>
        </w:rPr>
        <w:t>建强产学研服务平台。</w:t>
      </w:r>
      <w:r>
        <w:rPr>
          <w:rFonts w:hint="eastAsia" w:ascii="仿宋_GB2312" w:eastAsia="仿宋_GB2312"/>
          <w:sz w:val="32"/>
          <w:szCs w:val="32"/>
        </w:rPr>
        <w:t>根据区域经济社会发展需求，以提高学生实践和创新能力为重点，建设现代产业学院；推动“引企入教”，促进课程内容与技术应用、教学过程与生产过程、人才培养与产业需求的紧密衔接；协调推进多主体之间开放合作，打造集产、学、研、转、创、用于一体，互补、互利、互动、多赢的实体性创新服务平台；强化校企联合开展技术攻关、产品研发、成果转化、项目孵化等工作，大力推动科教融合，将研究成果及时引入教学过程，促进科研与人才培养积极互动，发挥产学研合作示范影响，提升服务产业能力。</w:t>
      </w:r>
    </w:p>
    <w:p>
      <w:pPr>
        <w:spacing w:line="560" w:lineRule="exact"/>
        <w:ind w:firstLine="643" w:firstLineChars="200"/>
        <w:rPr>
          <w:rFonts w:ascii="仿宋_GB2312" w:eastAsia="仿宋_GB2312"/>
          <w:sz w:val="32"/>
          <w:szCs w:val="32"/>
        </w:rPr>
      </w:pPr>
      <w:bookmarkStart w:id="5" w:name="_Toc68598833"/>
      <w:r>
        <w:rPr>
          <w:rFonts w:hint="eastAsia" w:ascii="仿宋_GB2312" w:eastAsia="仿宋_GB2312"/>
          <w:b/>
          <w:sz w:val="32"/>
          <w:szCs w:val="32"/>
        </w:rPr>
        <w:t>2.</w:t>
      </w:r>
      <w:bookmarkEnd w:id="5"/>
      <w:r>
        <w:rPr>
          <w:rFonts w:hint="eastAsia" w:ascii="仿宋_GB2312" w:eastAsia="仿宋_GB2312"/>
          <w:b/>
          <w:sz w:val="32"/>
          <w:szCs w:val="32"/>
        </w:rPr>
        <w:t>夯实产学研结合基础。</w:t>
      </w:r>
      <w:r>
        <w:rPr>
          <w:rFonts w:hint="eastAsia" w:ascii="仿宋_GB2312" w:eastAsia="仿宋_GB2312"/>
          <w:sz w:val="32"/>
          <w:szCs w:val="32"/>
        </w:rPr>
        <w:t>引导行业企业深度参与课程建设，设计课程体系、优化课程结构，推动课程内容与行业标准、生产流程、项目开发等产业需求紧密对接，建设一批高质量校企联合开发课程、教材和工程案例。以行业企业技术革新项目为依托，创新教学内容和方法，增加综合型、设计性实践教学比重，把行业企业的真实项目、产品设计等作为毕业设计和课程设计等实践环节的选题来源；利用真实生产线等环境开展浸润式实景、实操、实地教学，提升学生的动手实践能力。</w:t>
      </w:r>
    </w:p>
    <w:p>
      <w:pPr>
        <w:spacing w:line="560" w:lineRule="exact"/>
        <w:ind w:firstLine="643" w:firstLineChars="200"/>
        <w:rPr>
          <w:rFonts w:ascii="仿宋_GB2312" w:eastAsia="仿宋_GB2312"/>
          <w:sz w:val="32"/>
          <w:szCs w:val="32"/>
        </w:rPr>
      </w:pPr>
      <w:bookmarkStart w:id="6" w:name="_Toc68598834"/>
      <w:r>
        <w:rPr>
          <w:rFonts w:hint="eastAsia" w:ascii="仿宋_GB2312" w:eastAsia="仿宋_GB2312"/>
          <w:b/>
          <w:bCs/>
          <w:sz w:val="32"/>
          <w:szCs w:val="32"/>
        </w:rPr>
        <w:t>3.</w:t>
      </w:r>
      <w:bookmarkEnd w:id="6"/>
      <w:r>
        <w:rPr>
          <w:rFonts w:hint="eastAsia" w:ascii="仿宋_GB2312" w:eastAsia="仿宋_GB2312"/>
          <w:b/>
          <w:bCs/>
          <w:sz w:val="32"/>
          <w:szCs w:val="32"/>
        </w:rPr>
        <w:t>营造基地型产学研创新环境。</w:t>
      </w:r>
      <w:r>
        <w:rPr>
          <w:rFonts w:hint="eastAsia" w:ascii="仿宋_GB2312" w:eastAsia="仿宋_GB2312"/>
          <w:sz w:val="32"/>
          <w:szCs w:val="32"/>
        </w:rPr>
        <w:t>创新多主体间的合作模式，构建基于产业发展和创新需求的实践教学和实训实习环境；统筹各类实践教学资源，充分利用科技产业园、行业龙头企业等优质资源，构建功能集约、开放共享、高效运行的实践教学平台；通过引进企业研发平台、生产基地，建设一批兼具生产、教学、研发、创新创业功能的校企一体、产学研用协同的大型实验实训实习基地。</w:t>
      </w:r>
    </w:p>
    <w:p>
      <w:pPr>
        <w:widowControl/>
        <w:spacing w:line="560" w:lineRule="exact"/>
        <w:ind w:firstLine="640" w:firstLineChars="200"/>
        <w:rPr>
          <w:rFonts w:ascii="仿宋_GB2312" w:eastAsia="仿宋_GB2312"/>
          <w:sz w:val="32"/>
          <w:szCs w:val="32"/>
        </w:rPr>
      </w:pPr>
      <w:r>
        <w:rPr>
          <w:rFonts w:hint="eastAsia" w:ascii="楷体_GB2312" w:eastAsia="楷体_GB2312"/>
          <w:sz w:val="32"/>
          <w:szCs w:val="32"/>
        </w:rPr>
        <w:t>（六）打造高水平技能服务基地，重点突出育训结合与服务延伸</w:t>
      </w:r>
    </w:p>
    <w:p>
      <w:pPr>
        <w:widowControl/>
        <w:spacing w:line="560" w:lineRule="exact"/>
        <w:ind w:firstLine="643" w:firstLineChars="200"/>
        <w:rPr>
          <w:rFonts w:ascii="仿宋_GB2312" w:eastAsia="仿宋_GB2312"/>
          <w:sz w:val="32"/>
          <w:szCs w:val="32"/>
        </w:rPr>
      </w:pPr>
      <w:bookmarkStart w:id="7" w:name="_Toc68598849"/>
      <w:r>
        <w:rPr>
          <w:rFonts w:ascii="仿宋_GB2312" w:eastAsia="仿宋_GB2312"/>
          <w:b/>
          <w:bCs/>
          <w:sz w:val="32"/>
          <w:szCs w:val="32"/>
        </w:rPr>
        <w:t>1.</w:t>
      </w:r>
      <w:r>
        <w:rPr>
          <w:rFonts w:hint="eastAsia" w:ascii="仿宋_GB2312" w:eastAsia="仿宋_GB2312"/>
          <w:b/>
          <w:bCs/>
          <w:sz w:val="32"/>
          <w:szCs w:val="32"/>
        </w:rPr>
        <w:t>优化成人学历教育</w:t>
      </w:r>
      <w:bookmarkEnd w:id="7"/>
      <w:r>
        <w:rPr>
          <w:rFonts w:hint="eastAsia" w:ascii="仿宋_GB2312" w:eastAsia="仿宋_GB2312"/>
          <w:b/>
          <w:bCs/>
          <w:sz w:val="32"/>
          <w:szCs w:val="32"/>
        </w:rPr>
        <w:t>资源供给。</w:t>
      </w:r>
      <w:r>
        <w:rPr>
          <w:rFonts w:hint="eastAsia" w:ascii="仿宋_GB2312" w:eastAsia="仿宋_GB2312"/>
          <w:sz w:val="32"/>
          <w:szCs w:val="32"/>
        </w:rPr>
        <w:t>整合现有资源，继续办好网上大学城和远程学历教育。在现有基础上，积极争取与更多区内外高校合作开办专本科成人函授学历教育。</w:t>
      </w:r>
    </w:p>
    <w:p>
      <w:pPr>
        <w:widowControl/>
        <w:spacing w:line="560" w:lineRule="exact"/>
        <w:ind w:firstLine="643" w:firstLineChars="200"/>
        <w:rPr>
          <w:rFonts w:ascii="仿宋_GB2312" w:eastAsia="仿宋_GB2312"/>
          <w:sz w:val="32"/>
          <w:szCs w:val="32"/>
        </w:rPr>
      </w:pPr>
      <w:bookmarkStart w:id="8" w:name="_Toc68598850"/>
      <w:r>
        <w:rPr>
          <w:rFonts w:ascii="仿宋_GB2312" w:eastAsia="仿宋_GB2312"/>
          <w:b/>
          <w:bCs/>
          <w:sz w:val="32"/>
          <w:szCs w:val="32"/>
        </w:rPr>
        <w:t>2.</w:t>
      </w:r>
      <w:r>
        <w:rPr>
          <w:rFonts w:hint="eastAsia" w:ascii="仿宋_GB2312" w:eastAsia="仿宋_GB2312"/>
          <w:b/>
          <w:bCs/>
          <w:sz w:val="32"/>
          <w:szCs w:val="32"/>
        </w:rPr>
        <w:t>提升职业培训和技能等级认定水平</w:t>
      </w:r>
      <w:bookmarkEnd w:id="8"/>
      <w:r>
        <w:rPr>
          <w:rFonts w:hint="eastAsia" w:ascii="仿宋_GB2312" w:eastAsia="仿宋_GB2312"/>
          <w:b/>
          <w:bCs/>
          <w:sz w:val="32"/>
          <w:szCs w:val="32"/>
        </w:rPr>
        <w:t>。</w:t>
      </w:r>
      <w:r>
        <w:rPr>
          <w:rFonts w:hint="eastAsia" w:ascii="仿宋_GB2312" w:eastAsia="仿宋_GB2312"/>
          <w:sz w:val="32"/>
          <w:szCs w:val="32"/>
        </w:rPr>
        <w:t>高质量开展各级各类社会培训和等级认定工作。持续加强普通话测试点建设，持续做好汽车机械维修工、数控车床、物流服务师、网络安全管理员、母婴护理员、道路巡视养护工、钳工、军地两用人才等工种的职业培训、技能等级认定以及从业资格考试工作。力争年均承担职业培训、技能等级认定、各类考试人数达到</w:t>
      </w:r>
      <w:r>
        <w:rPr>
          <w:rFonts w:ascii="仿宋_GB2312" w:eastAsia="仿宋_GB2312"/>
          <w:sz w:val="32"/>
          <w:szCs w:val="32"/>
        </w:rPr>
        <w:t>2</w:t>
      </w:r>
      <w:r>
        <w:rPr>
          <w:rFonts w:hint="eastAsia" w:ascii="仿宋_GB2312" w:eastAsia="仿宋_GB2312"/>
          <w:sz w:val="32"/>
          <w:szCs w:val="32"/>
        </w:rPr>
        <w:t>.8万人次，五年累计</w:t>
      </w:r>
      <w:r>
        <w:rPr>
          <w:rFonts w:ascii="仿宋_GB2312" w:eastAsia="仿宋_GB2312"/>
          <w:sz w:val="32"/>
          <w:szCs w:val="32"/>
        </w:rPr>
        <w:t>1</w:t>
      </w:r>
      <w:r>
        <w:rPr>
          <w:rFonts w:hint="eastAsia" w:ascii="仿宋_GB2312" w:eastAsia="仿宋_GB2312"/>
          <w:sz w:val="32"/>
          <w:szCs w:val="32"/>
        </w:rPr>
        <w:t>4万人次。</w:t>
      </w:r>
    </w:p>
    <w:p>
      <w:pPr>
        <w:widowControl/>
        <w:spacing w:line="560" w:lineRule="exact"/>
        <w:ind w:firstLine="643" w:firstLineChars="200"/>
        <w:rPr>
          <w:rFonts w:ascii="仿宋_GB2312" w:eastAsia="仿宋_GB2312"/>
          <w:sz w:val="32"/>
          <w:szCs w:val="32"/>
        </w:rPr>
      </w:pPr>
      <w:r>
        <w:rPr>
          <w:rFonts w:hint="eastAsia" w:ascii="仿宋_GB2312" w:eastAsia="仿宋_GB2312"/>
          <w:b/>
          <w:bCs/>
          <w:sz w:val="32"/>
          <w:szCs w:val="32"/>
        </w:rPr>
        <w:t>3.建设示范性社区教育基地和老年大学。</w:t>
      </w:r>
      <w:r>
        <w:rPr>
          <w:rFonts w:hint="eastAsia" w:ascii="仿宋_GB2312" w:eastAsia="仿宋_GB2312"/>
          <w:sz w:val="32"/>
          <w:szCs w:val="32"/>
        </w:rPr>
        <w:t>面向社区、面向退休群体，利用师资、场地、设备等优势资源，开办社区教育基地和老年大学，并逐步提升教学水平和服务能力，努力构建全民终身学习的社会培训体系。</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（七）打造高水平教师队伍，重点突出“双师”导向与专兼结合</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1.推动教师整体素质提升。</w:t>
      </w:r>
      <w:r>
        <w:rPr>
          <w:rFonts w:hint="eastAsia" w:ascii="仿宋_GB2312" w:eastAsia="仿宋_GB2312"/>
          <w:sz w:val="32"/>
          <w:szCs w:val="32"/>
        </w:rPr>
        <w:t>健全教师培训制度，完善教师培养培训体系，精选培训内容、创新培训形式、丰富培训载体，重点实施针对青年教师和“双师型”教师的素质提升计划，切实提升青年教师的职业素养和“双师型”教师的实践教学能力。</w:t>
      </w:r>
      <w:r>
        <w:rPr>
          <w:rFonts w:hint="eastAsia" w:ascii="仿宋_GB2312" w:hAnsi="仿宋_GB2312" w:eastAsia="仿宋_GB2312" w:cs="仿宋_GB2312"/>
          <w:color w:val="000000" w:themeColor="text1"/>
          <w:sz w:val="32"/>
          <w:szCs w:val="32"/>
        </w:rPr>
        <w:t>结合新时代新形势新要求，不断健全一线教师的激励、考核、监督、惩戒制度，推动师德师风建设常态化长效化。</w:t>
      </w:r>
    </w:p>
    <w:p>
      <w:pPr>
        <w:spacing w:line="560" w:lineRule="exact"/>
        <w:ind w:firstLine="643" w:firstLineChars="200"/>
        <w:rPr>
          <w:rFonts w:ascii="仿宋_GB2312" w:eastAsia="仿宋_GB2312"/>
          <w:sz w:val="32"/>
          <w:szCs w:val="32"/>
        </w:rPr>
      </w:pPr>
      <w:r>
        <w:rPr>
          <w:rFonts w:hint="eastAsia" w:ascii="仿宋_GB2312" w:hAnsi="宋体" w:eastAsia="仿宋_GB2312" w:cs="宋体"/>
          <w:b/>
          <w:bCs/>
          <w:color w:val="333333"/>
          <w:kern w:val="0"/>
          <w:sz w:val="32"/>
          <w:szCs w:val="32"/>
        </w:rPr>
        <w:t>2.以名师工程引领</w:t>
      </w:r>
      <w:r>
        <w:rPr>
          <w:rFonts w:hint="eastAsia" w:ascii="仿宋_GB2312" w:hAnsi="仿宋_GB2312" w:eastAsia="仿宋_GB2312" w:cs="仿宋_GB2312"/>
          <w:b/>
          <w:bCs/>
          <w:sz w:val="32"/>
          <w:szCs w:val="32"/>
        </w:rPr>
        <w:t>教学团队建设。</w:t>
      </w:r>
      <w:r>
        <w:rPr>
          <w:rFonts w:hint="eastAsia" w:ascii="仿宋_GB2312" w:eastAsia="仿宋_GB2312"/>
          <w:sz w:val="32"/>
          <w:szCs w:val="32"/>
        </w:rPr>
        <w:t>在国家和自治区两级认定教学名师基础上，每年开展院级名师评选，实行动态管理。发挥教学名师“示范课”的带动作用，推广先进有效的教学方法和模式，形成教学特色，培养一批学院、自治区乃至全国的教学名师。</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3.扩大“双师型”教师规模。</w:t>
      </w:r>
      <w:r>
        <w:rPr>
          <w:rFonts w:hint="eastAsia" w:ascii="仿宋_GB2312" w:eastAsia="仿宋_GB2312"/>
          <w:sz w:val="32"/>
          <w:szCs w:val="32"/>
        </w:rPr>
        <w:t>鼓励专业课教师向“双师型”发展，完善“双师型”教师资格认定、聘用、激励、考核制度。结合学院1+X证书制度试点工作的推进，加强“双师型”教师队伍的专业化建设，为全面提高复合型技术技能人才培养质量，提供强有力的师资支撑。</w:t>
      </w:r>
    </w:p>
    <w:p>
      <w:pPr>
        <w:spacing w:line="560" w:lineRule="exact"/>
        <w:ind w:firstLine="643" w:firstLineChars="200"/>
        <w:rPr>
          <w:rFonts w:ascii="楷体_GB2312" w:eastAsia="仿宋_GB2312"/>
          <w:sz w:val="32"/>
          <w:szCs w:val="32"/>
        </w:rPr>
      </w:pPr>
      <w:r>
        <w:rPr>
          <w:rFonts w:hint="eastAsia" w:ascii="仿宋_GB2312" w:hAnsi="宋体" w:eastAsia="仿宋_GB2312" w:cs="宋体"/>
          <w:b/>
          <w:bCs/>
          <w:color w:val="333333"/>
          <w:kern w:val="0"/>
          <w:sz w:val="32"/>
          <w:szCs w:val="32"/>
        </w:rPr>
        <w:t>4.</w:t>
      </w:r>
      <w:r>
        <w:rPr>
          <w:rFonts w:ascii="仿宋_GB2312" w:hAnsi="仿宋_GB2312" w:eastAsia="仿宋_GB2312" w:cs="仿宋_GB2312"/>
          <w:b/>
          <w:bCs/>
          <w:sz w:val="32"/>
          <w:szCs w:val="32"/>
        </w:rPr>
        <w:t>推动教师与企业人才互联互通。</w:t>
      </w:r>
      <w:r>
        <w:rPr>
          <w:rFonts w:ascii="仿宋_GB2312" w:eastAsia="仿宋_GB2312"/>
          <w:sz w:val="32"/>
          <w:szCs w:val="32"/>
        </w:rPr>
        <w:t>打通</w:t>
      </w:r>
      <w:r>
        <w:rPr>
          <w:rFonts w:hint="eastAsia" w:ascii="仿宋_GB2312" w:eastAsia="仿宋_GB2312"/>
          <w:sz w:val="32"/>
          <w:szCs w:val="32"/>
        </w:rPr>
        <w:t>校企</w:t>
      </w:r>
      <w:r>
        <w:rPr>
          <w:rFonts w:ascii="仿宋_GB2312" w:eastAsia="仿宋_GB2312"/>
          <w:sz w:val="32"/>
          <w:szCs w:val="32"/>
        </w:rPr>
        <w:t>双向交流合作通道，建立</w:t>
      </w:r>
      <w:r>
        <w:rPr>
          <w:rFonts w:hint="eastAsia" w:ascii="仿宋_GB2312" w:eastAsia="仿宋_GB2312"/>
          <w:sz w:val="32"/>
          <w:szCs w:val="32"/>
        </w:rPr>
        <w:t>健全</w:t>
      </w:r>
      <w:r>
        <w:rPr>
          <w:rFonts w:ascii="仿宋_GB2312" w:eastAsia="仿宋_GB2312"/>
          <w:sz w:val="32"/>
          <w:szCs w:val="32"/>
        </w:rPr>
        <w:t>专业教师定期到企业实践</w:t>
      </w:r>
      <w:r>
        <w:rPr>
          <w:rFonts w:hint="eastAsia" w:ascii="仿宋_GB2312" w:eastAsia="仿宋_GB2312"/>
          <w:sz w:val="32"/>
          <w:szCs w:val="32"/>
        </w:rPr>
        <w:t>和进行深层次交流机制，提高专业教师技术技能水平。聘请企业具有技师及以上资格的优秀人才来学院兼任专业课或实习实训课教师，并逐步实现</w:t>
      </w:r>
      <w:r>
        <w:rPr>
          <w:rFonts w:ascii="仿宋_GB2312" w:eastAsia="仿宋_GB2312"/>
          <w:sz w:val="32"/>
          <w:szCs w:val="32"/>
        </w:rPr>
        <w:t>常态化、制度化、标准化、规范化，</w:t>
      </w:r>
      <w:r>
        <w:rPr>
          <w:rFonts w:hint="eastAsia" w:ascii="仿宋_GB2312" w:eastAsia="仿宋_GB2312"/>
          <w:sz w:val="32"/>
          <w:szCs w:val="32"/>
        </w:rPr>
        <w:t>提升技术技能人才培养质量。</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（八）打造信息化智慧校园，重点突出服务教学与广泛应用</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构建智慧校园信息管理服务体系。</w:t>
      </w:r>
      <w:r>
        <w:rPr>
          <w:rFonts w:hint="eastAsia" w:ascii="仿宋_GB2312" w:eastAsia="仿宋_GB2312"/>
          <w:sz w:val="32"/>
          <w:szCs w:val="32"/>
        </w:rPr>
        <w:t>建成需求</w:t>
      </w:r>
      <w:r>
        <w:rPr>
          <w:rFonts w:ascii="仿宋_GB2312" w:eastAsia="仿宋_GB2312"/>
          <w:sz w:val="32"/>
          <w:szCs w:val="32"/>
        </w:rPr>
        <w:t>驱动、深化应用、深度融合、共建共享，涵盖</w:t>
      </w:r>
      <w:r>
        <w:rPr>
          <w:rFonts w:hint="eastAsia" w:ascii="仿宋_GB2312" w:eastAsia="仿宋_GB2312"/>
          <w:sz w:val="32"/>
          <w:szCs w:val="32"/>
        </w:rPr>
        <w:t>“</w:t>
      </w:r>
      <w:r>
        <w:rPr>
          <w:rFonts w:ascii="仿宋_GB2312" w:eastAsia="仿宋_GB2312"/>
          <w:sz w:val="32"/>
          <w:szCs w:val="32"/>
        </w:rPr>
        <w:t>互联网</w:t>
      </w:r>
      <w:r>
        <w:rPr>
          <w:rFonts w:hint="eastAsia" w:ascii="仿宋_GB2312" w:eastAsia="仿宋_GB2312"/>
          <w:sz w:val="32"/>
          <w:szCs w:val="32"/>
        </w:rPr>
        <w:t>+”</w:t>
      </w:r>
      <w:r>
        <w:rPr>
          <w:rFonts w:hint="eastAsia" w:ascii="仿宋_GB2312" w:hAnsi="Calibri" w:eastAsia="仿宋_GB2312" w:cs="Times New Roman"/>
          <w:sz w:val="32"/>
          <w:szCs w:val="32"/>
        </w:rPr>
        <w:t>教学模式和管理服务体系</w:t>
      </w:r>
      <w:r>
        <w:rPr>
          <w:rFonts w:hint="eastAsia" w:ascii="仿宋_GB2312" w:eastAsia="仿宋_GB2312"/>
          <w:sz w:val="32"/>
          <w:szCs w:val="32"/>
        </w:rPr>
        <w:t>在内</w:t>
      </w:r>
      <w:r>
        <w:rPr>
          <w:rFonts w:hint="eastAsia" w:ascii="仿宋_GB2312" w:hAnsi="Calibri" w:eastAsia="仿宋_GB2312" w:cs="Times New Roman"/>
          <w:sz w:val="32"/>
          <w:szCs w:val="32"/>
        </w:rPr>
        <w:t>的技术系统</w:t>
      </w:r>
      <w:r>
        <w:rPr>
          <w:rFonts w:hint="eastAsia" w:ascii="仿宋_GB2312" w:eastAsia="仿宋_GB2312"/>
          <w:sz w:val="32"/>
          <w:szCs w:val="32"/>
        </w:rPr>
        <w:t>和</w:t>
      </w:r>
      <w:r>
        <w:rPr>
          <w:rFonts w:hint="eastAsia" w:ascii="仿宋_GB2312" w:hAnsi="Calibri" w:eastAsia="仿宋_GB2312" w:cs="Times New Roman"/>
          <w:sz w:val="32"/>
          <w:szCs w:val="32"/>
        </w:rPr>
        <w:t>组织体系</w:t>
      </w:r>
      <w:r>
        <w:rPr>
          <w:rFonts w:hint="eastAsia" w:ascii="仿宋_GB2312" w:eastAsia="仿宋_GB2312"/>
          <w:sz w:val="32"/>
          <w:szCs w:val="32"/>
        </w:rPr>
        <w:t>，</w:t>
      </w:r>
      <w:r>
        <w:rPr>
          <w:rFonts w:hint="eastAsia" w:ascii="仿宋_GB2312" w:hAnsi="Calibri" w:eastAsia="仿宋_GB2312" w:cs="Times New Roman"/>
          <w:sz w:val="32"/>
          <w:szCs w:val="32"/>
        </w:rPr>
        <w:t>为学生、教师、管理人员等提供集成化的数字资源，以及数字化的教育教学、培训和管理服务，促进学生和教师信息化职业素养的全面发展，着力提升教学质量和办学水平。</w:t>
      </w:r>
    </w:p>
    <w:p>
      <w:pPr>
        <w:spacing w:line="560" w:lineRule="exact"/>
        <w:ind w:firstLine="643" w:firstLineChars="200"/>
        <w:rPr>
          <w:rFonts w:ascii="楷体" w:hAnsi="楷体" w:eastAsia="楷体"/>
          <w:sz w:val="24"/>
          <w:szCs w:val="24"/>
        </w:rPr>
      </w:pPr>
      <w:r>
        <w:rPr>
          <w:rFonts w:hint="eastAsia" w:ascii="仿宋_GB2312" w:hAnsi="仿宋_GB2312" w:eastAsia="仿宋_GB2312" w:cs="仿宋_GB2312"/>
          <w:b/>
          <w:bCs/>
          <w:sz w:val="32"/>
          <w:szCs w:val="32"/>
        </w:rPr>
        <w:t>2.强化信息技术与教学过程深度融合。</w:t>
      </w:r>
      <w:r>
        <w:rPr>
          <w:rFonts w:hint="eastAsia" w:ascii="仿宋_GB2312" w:eastAsia="仿宋_GB2312"/>
          <w:sz w:val="32"/>
          <w:szCs w:val="32"/>
        </w:rPr>
        <w:t>重点建设虚拟仿真、智慧教室、线上教学资源等项目，提升学生自主学习和创新学习的能力，实现教学质量评价实时动态管理。</w:t>
      </w:r>
      <w:r>
        <w:rPr>
          <w:rFonts w:hint="eastAsia" w:ascii="仿宋_GB2312" w:hAnsi="Calibri" w:eastAsia="仿宋_GB2312" w:cs="Times New Roman"/>
          <w:sz w:val="32"/>
          <w:szCs w:val="32"/>
        </w:rPr>
        <w:t>构建基于大数据的教学管理与评价系统，优化信息化条件下的教学质量评估和质量控制。</w:t>
      </w:r>
    </w:p>
    <w:p>
      <w:pPr>
        <w:spacing w:line="560" w:lineRule="exact"/>
        <w:ind w:firstLine="640" w:firstLineChars="200"/>
        <w:rPr>
          <w:rFonts w:ascii="楷体_GB2312" w:eastAsia="楷体_GB2312"/>
          <w:sz w:val="32"/>
          <w:szCs w:val="32"/>
        </w:rPr>
      </w:pPr>
      <w:r>
        <w:rPr>
          <w:rFonts w:ascii="楷体_GB2312" w:eastAsia="楷体_GB2312"/>
          <w:sz w:val="32"/>
          <w:szCs w:val="32"/>
        </w:rPr>
        <w:t>（九）全面改善办学条件，重点突</w:t>
      </w:r>
      <w:r>
        <w:rPr>
          <w:rFonts w:hint="eastAsia" w:ascii="楷体_GB2312" w:eastAsia="楷体_GB2312"/>
          <w:sz w:val="32"/>
          <w:szCs w:val="32"/>
        </w:rPr>
        <w:t>出硬件提升与整体联动</w:t>
      </w:r>
    </w:p>
    <w:p>
      <w:pPr>
        <w:spacing w:line="560" w:lineRule="exact"/>
        <w:ind w:firstLine="643" w:firstLineChars="200"/>
        <w:rPr>
          <w:rFonts w:hint="eastAsia" w:ascii="仿宋_GB2312" w:hAnsi="仿宋" w:eastAsia="仿宋_GB2312" w:cstheme="minorEastAsia"/>
          <w:sz w:val="32"/>
          <w:szCs w:val="32"/>
          <w:highlight w:val="none"/>
        </w:rPr>
      </w:pPr>
      <w:r>
        <w:rPr>
          <w:rFonts w:hint="eastAsia" w:ascii="仿宋_GB2312" w:hAnsi="仿宋" w:eastAsia="仿宋_GB2312" w:cstheme="minorEastAsia"/>
          <w:b/>
          <w:bCs/>
          <w:sz w:val="32"/>
          <w:szCs w:val="32"/>
          <w:highlight w:val="none"/>
          <w:lang w:val="en-US" w:eastAsia="zh-CN"/>
        </w:rPr>
        <w:t>1.进一步完善主校区功能。</w:t>
      </w:r>
      <w:r>
        <w:rPr>
          <w:rFonts w:hint="eastAsia" w:ascii="仿宋_GB2312" w:hAnsi="仿宋" w:eastAsia="仿宋_GB2312" w:cstheme="minorEastAsia"/>
          <w:sz w:val="32"/>
          <w:szCs w:val="32"/>
          <w:highlight w:val="none"/>
        </w:rPr>
        <w:t>加强主校区</w:t>
      </w:r>
      <w:r>
        <w:rPr>
          <w:rFonts w:hint="eastAsia" w:ascii="仿宋_GB2312" w:hAnsi="仿宋" w:eastAsia="仿宋_GB2312" w:cstheme="minorEastAsia"/>
          <w:sz w:val="32"/>
          <w:szCs w:val="32"/>
          <w:highlight w:val="none"/>
          <w:lang w:eastAsia="zh-CN"/>
        </w:rPr>
        <w:t>基础</w:t>
      </w:r>
      <w:r>
        <w:rPr>
          <w:rFonts w:hint="eastAsia" w:ascii="仿宋_GB2312" w:hAnsi="仿宋" w:eastAsia="仿宋_GB2312" w:cstheme="minorEastAsia"/>
          <w:sz w:val="32"/>
          <w:szCs w:val="32"/>
          <w:highlight w:val="none"/>
        </w:rPr>
        <w:t>建设</w:t>
      </w:r>
      <w:r>
        <w:rPr>
          <w:rFonts w:hint="eastAsia" w:ascii="仿宋_GB2312" w:hAnsi="仿宋" w:eastAsia="仿宋_GB2312" w:cstheme="minorEastAsia"/>
          <w:sz w:val="32"/>
          <w:szCs w:val="32"/>
          <w:highlight w:val="none"/>
          <w:lang w:eastAsia="zh-CN"/>
        </w:rPr>
        <w:t>，</w:t>
      </w:r>
      <w:r>
        <w:rPr>
          <w:rFonts w:hint="eastAsia" w:ascii="仿宋_GB2312" w:hAnsi="仿宋" w:eastAsia="仿宋_GB2312" w:cstheme="minorEastAsia"/>
          <w:sz w:val="32"/>
          <w:szCs w:val="32"/>
          <w:highlight w:val="none"/>
        </w:rPr>
        <w:t>加大</w:t>
      </w:r>
      <w:r>
        <w:rPr>
          <w:rFonts w:hint="eastAsia" w:ascii="仿宋_GB2312" w:hAnsi="仿宋" w:eastAsia="仿宋_GB2312" w:cstheme="minorEastAsia"/>
          <w:sz w:val="32"/>
          <w:szCs w:val="32"/>
          <w:highlight w:val="none"/>
          <w:lang w:eastAsia="zh-CN"/>
        </w:rPr>
        <w:t>教学</w:t>
      </w:r>
      <w:r>
        <w:rPr>
          <w:rFonts w:hint="eastAsia" w:ascii="仿宋_GB2312" w:hAnsi="仿宋" w:eastAsia="仿宋_GB2312" w:cstheme="minorEastAsia"/>
          <w:sz w:val="32"/>
          <w:szCs w:val="32"/>
          <w:highlight w:val="none"/>
        </w:rPr>
        <w:t>实训及生活基础设施等各项建设的投入，满足师生在教学、科研、文化、生活质量等方面不断提高的需要，建成使用功能合理明确、各项服务设施完善、总体环境优</w:t>
      </w:r>
      <w:r>
        <w:rPr>
          <w:rFonts w:hint="eastAsia" w:ascii="仿宋_GB2312" w:hAnsi="仿宋" w:eastAsia="仿宋_GB2312" w:cstheme="minorEastAsia"/>
          <w:sz w:val="32"/>
          <w:szCs w:val="32"/>
          <w:highlight w:val="none"/>
          <w:lang w:eastAsia="zh-CN"/>
        </w:rPr>
        <w:t>美</w:t>
      </w:r>
      <w:r>
        <w:rPr>
          <w:rFonts w:hint="eastAsia" w:ascii="仿宋_GB2312" w:hAnsi="仿宋" w:eastAsia="仿宋_GB2312" w:cstheme="minorEastAsia"/>
          <w:sz w:val="32"/>
          <w:szCs w:val="32"/>
          <w:highlight w:val="none"/>
        </w:rPr>
        <w:t>舒适的</w:t>
      </w:r>
      <w:r>
        <w:rPr>
          <w:rFonts w:hint="eastAsia" w:ascii="仿宋_GB2312" w:hAnsi="仿宋" w:eastAsia="仿宋_GB2312" w:cstheme="minorEastAsia"/>
          <w:sz w:val="32"/>
          <w:szCs w:val="32"/>
          <w:highlight w:val="none"/>
          <w:lang w:eastAsia="zh-CN"/>
        </w:rPr>
        <w:t>现代化</w:t>
      </w:r>
      <w:r>
        <w:rPr>
          <w:rFonts w:hint="eastAsia" w:ascii="仿宋_GB2312" w:hAnsi="仿宋" w:eastAsia="仿宋_GB2312" w:cstheme="minorEastAsia"/>
          <w:sz w:val="32"/>
          <w:szCs w:val="32"/>
          <w:highlight w:val="none"/>
        </w:rPr>
        <w:t>校园。</w:t>
      </w:r>
    </w:p>
    <w:p>
      <w:pPr>
        <w:spacing w:line="560" w:lineRule="exact"/>
        <w:ind w:firstLine="643" w:firstLineChars="200"/>
        <w:rPr>
          <w:rFonts w:hint="default" w:ascii="仿宋_GB2312" w:hAnsi="仿宋" w:eastAsia="仿宋_GB2312" w:cstheme="minorEastAsia"/>
          <w:sz w:val="32"/>
          <w:szCs w:val="32"/>
          <w:lang w:val="en-US" w:eastAsia="zh-CN"/>
        </w:rPr>
      </w:pPr>
      <w:r>
        <w:rPr>
          <w:rFonts w:hint="eastAsia" w:ascii="仿宋_GB2312" w:hAnsi="仿宋" w:eastAsia="仿宋_GB2312" w:cstheme="minorEastAsia"/>
          <w:b/>
          <w:bCs/>
          <w:sz w:val="32"/>
          <w:szCs w:val="32"/>
          <w:highlight w:val="none"/>
          <w:lang w:val="en-US" w:eastAsia="zh-CN"/>
        </w:rPr>
        <w:t>2.高质量完成南校区建设项目。</w:t>
      </w:r>
      <w:r>
        <w:rPr>
          <w:rFonts w:hint="eastAsia" w:ascii="仿宋_GB2312" w:hAnsi="仿宋" w:eastAsia="仿宋_GB2312" w:cstheme="minorEastAsia"/>
          <w:sz w:val="32"/>
          <w:szCs w:val="32"/>
          <w:highlight w:val="none"/>
          <w:lang w:eastAsia="zh-CN"/>
        </w:rPr>
        <w:t>以提高办学条件、改善设施环境、增强适应能力为导向，建成集学生实习实训、技能鉴定、技术服务、生产经营和科学研究等功能于一体的学院南校区，</w:t>
      </w:r>
      <w:r>
        <w:rPr>
          <w:rFonts w:hint="eastAsia" w:ascii="仿宋_GB2312" w:hAnsi="仿宋" w:eastAsia="仿宋_GB2312"/>
          <w:sz w:val="32"/>
          <w:szCs w:val="32"/>
          <w:highlight w:val="none"/>
        </w:rPr>
        <w:t>形成全院纵向贯通、横向衔接、整体联动、运转高效的基础设施功能体系</w:t>
      </w:r>
      <w:r>
        <w:rPr>
          <w:rFonts w:hint="eastAsia" w:ascii="仿宋_GB2312" w:hAnsi="仿宋" w:eastAsia="仿宋_GB2312"/>
          <w:sz w:val="32"/>
          <w:szCs w:val="32"/>
          <w:highlight w:val="none"/>
          <w:lang w:eastAsia="zh-CN"/>
        </w:rPr>
        <w:t>，满足学院扩大</w:t>
      </w:r>
      <w:r>
        <w:rPr>
          <w:rFonts w:hint="eastAsia" w:ascii="仿宋_GB2312" w:hAnsi="仿宋" w:eastAsia="仿宋_GB2312"/>
          <w:sz w:val="32"/>
          <w:szCs w:val="32"/>
          <w:highlight w:val="none"/>
          <w:lang w:val="en-US" w:eastAsia="zh-CN"/>
        </w:rPr>
        <w:t>办学规模的发展需求。</w:t>
      </w:r>
    </w:p>
    <w:p>
      <w:pPr>
        <w:spacing w:line="560" w:lineRule="exact"/>
        <w:ind w:firstLine="640" w:firstLineChars="200"/>
        <w:rPr>
          <w:rFonts w:ascii="仿宋_GB2312" w:eastAsia="楷体_GB2312"/>
          <w:sz w:val="32"/>
          <w:szCs w:val="32"/>
        </w:rPr>
      </w:pPr>
      <w:r>
        <w:rPr>
          <w:rFonts w:hint="eastAsia" w:ascii="楷体_GB2312" w:eastAsia="楷体_GB2312"/>
          <w:sz w:val="32"/>
          <w:szCs w:val="32"/>
        </w:rPr>
        <w:t>（十）全面提升现代化治理能力，重点突出依法治校与安全稳定</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1.构建高效完备的制度体系。</w:t>
      </w:r>
      <w:r>
        <w:rPr>
          <w:rFonts w:hint="eastAsia" w:ascii="仿宋_GB2312" w:eastAsia="仿宋_GB2312"/>
          <w:sz w:val="32"/>
          <w:szCs w:val="32"/>
        </w:rPr>
        <w:t>建立健全全面从严治党制度体系，健全和完善学院党的建设各项制度，建立政治体检、调查研究和干部履职等制度机制，构建管根本、利长远、重实效的长效机制。建立健全新时代高职院校教育教学制度体系，完善以中等职业教育、高等职业教育纵向贯通和普职、产教、校企等横向融通为核心，同经济社会发展和深化职业教育改革相适应的制度机制，加快推动教育教学提质培优、增值赋能。建立健全科学高效的现代法人治理制度体系，完善内部治理和行政管理制度机制，使学院的岗位设置更加科学合理，权力运行更加规范高效，工作作风更加严谨精干，有力提升学院依法依规管理水平。</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2.健全科学有效的自我质量保证机制。</w:t>
      </w:r>
      <w:r>
        <w:rPr>
          <w:rFonts w:hint="eastAsia" w:ascii="仿宋_GB2312" w:eastAsia="仿宋_GB2312"/>
          <w:sz w:val="32"/>
          <w:szCs w:val="32"/>
        </w:rPr>
        <w:t>充分发挥内部质量保证体系诊断与改进系统功能，依托效能管理、</w:t>
      </w:r>
      <w:r>
        <w:rPr>
          <w:rFonts w:ascii="仿宋_GB2312" w:eastAsia="仿宋_GB2312"/>
          <w:sz w:val="32"/>
          <w:szCs w:val="32"/>
        </w:rPr>
        <w:t>质量目标管理、智慧课堂教学与管理、状态数据采集填报、质量数据分析预警、数据管理、校本数据中心支撑</w:t>
      </w:r>
      <w:r>
        <w:rPr>
          <w:rFonts w:hint="eastAsia" w:ascii="仿宋_GB2312" w:eastAsia="仿宋_GB2312"/>
          <w:sz w:val="32"/>
          <w:szCs w:val="32"/>
        </w:rPr>
        <w:t>七个平台，在学院、专业、课程、教师、学生不同层面建立完整的自我质量保证机制，为学院诊断改进、科学决策、规范监督、质量提升、绩效考核提供数据参考和数据支持。</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3.全力推进“平安校园”建设。</w:t>
      </w:r>
      <w:r>
        <w:rPr>
          <w:rFonts w:hint="eastAsia" w:ascii="仿宋_GB2312" w:hAnsi="仿宋_GB2312" w:eastAsia="仿宋_GB2312" w:cs="仿宋_GB2312"/>
          <w:sz w:val="32"/>
          <w:szCs w:val="32"/>
        </w:rPr>
        <w:t>围绕保护</w:t>
      </w:r>
      <w:r>
        <w:rPr>
          <w:rFonts w:hint="eastAsia" w:ascii="仿宋_GB2312" w:eastAsia="仿宋_GB2312"/>
          <w:sz w:val="32"/>
          <w:szCs w:val="32"/>
        </w:rPr>
        <w:t>师生人身、财产安全，强化宣传教育，加大对各类校园违法犯罪行为的防范力度，完善应急体系建设，有效遏制和减少校园安全事故，营造安全、稳定、文明、健康的校园环境，确保完成“平安校园”申报验收工作，为学院高质量发展筑牢安全屏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二、主要举措</w:t>
      </w:r>
    </w:p>
    <w:p>
      <w:pPr>
        <w:widowControl/>
        <w:spacing w:line="560" w:lineRule="exact"/>
        <w:ind w:firstLine="640" w:firstLineChars="200"/>
        <w:rPr>
          <w:rFonts w:ascii="仿宋_GB2312" w:hAnsi="仿宋_GB2312" w:eastAsia="仿宋_GB2312" w:cs="仿宋_GB2312"/>
          <w:sz w:val="32"/>
          <w:szCs w:val="32"/>
        </w:rPr>
      </w:pPr>
      <w:r>
        <w:rPr>
          <w:rFonts w:hint="eastAsia" w:ascii="楷体_GB2312" w:eastAsia="楷体_GB2312"/>
          <w:sz w:val="32"/>
          <w:szCs w:val="32"/>
        </w:rPr>
        <w:t>（一）实施党建引领、凝心聚力工程</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1.项目简介</w:t>
      </w:r>
    </w:p>
    <w:p>
      <w:pPr>
        <w:overflowPunct w:val="0"/>
        <w:spacing w:line="560" w:lineRule="exact"/>
        <w:ind w:firstLine="640" w:firstLineChars="200"/>
        <w:rPr>
          <w:rFonts w:ascii="仿宋_GB2312" w:hAnsi="黑体" w:eastAsia="仿宋_GB2312"/>
          <w:sz w:val="32"/>
          <w:szCs w:val="32"/>
        </w:rPr>
      </w:pPr>
      <w:r>
        <w:rPr>
          <w:rFonts w:hint="eastAsia" w:ascii="仿宋_GB2312" w:eastAsia="仿宋_GB2312"/>
          <w:sz w:val="32"/>
          <w:szCs w:val="32"/>
        </w:rPr>
        <w:t>紧密围绕“立德树人”根本任务，按照新时代党的建设总要求，着力健全党建工作体系，压实党建工作政治责任，</w:t>
      </w:r>
      <w:r>
        <w:rPr>
          <w:rFonts w:hint="eastAsia" w:ascii="仿宋_GB2312" w:hAnsi="仿宋_GB2312" w:eastAsia="仿宋_GB2312" w:cs="仿宋_GB2312"/>
          <w:sz w:val="32"/>
          <w:szCs w:val="32"/>
        </w:rPr>
        <w:t>全面贯彻新时代党的组织路线，</w:t>
      </w:r>
      <w:r>
        <w:rPr>
          <w:rFonts w:hint="eastAsia" w:ascii="仿宋_GB2312" w:eastAsia="仿宋_GB2312"/>
          <w:sz w:val="32"/>
          <w:szCs w:val="32"/>
        </w:rPr>
        <w:t>扎实推进干部队伍建设，</w:t>
      </w:r>
      <w:r>
        <w:rPr>
          <w:rFonts w:hint="eastAsia" w:ascii="仿宋_GB2312" w:hAnsi="黑体" w:eastAsia="仿宋_GB2312"/>
          <w:sz w:val="32"/>
          <w:szCs w:val="32"/>
        </w:rPr>
        <w:t>深入开展</w:t>
      </w:r>
      <w:r>
        <w:rPr>
          <w:rFonts w:ascii="仿宋_GB2312" w:hAnsi="黑体" w:eastAsia="仿宋_GB2312"/>
          <w:sz w:val="32"/>
          <w:szCs w:val="32"/>
        </w:rPr>
        <w:t>高校党建</w:t>
      </w:r>
      <w:r>
        <w:rPr>
          <w:rFonts w:hint="eastAsia" w:ascii="仿宋_GB2312" w:hAnsi="黑体" w:eastAsia="仿宋_GB2312"/>
          <w:sz w:val="32"/>
          <w:szCs w:val="32"/>
        </w:rPr>
        <w:t>“三抓三促进”行动，</w:t>
      </w:r>
      <w:r>
        <w:rPr>
          <w:rFonts w:hint="eastAsia" w:ascii="仿宋_GB2312" w:eastAsia="仿宋_GB2312"/>
          <w:sz w:val="32"/>
          <w:szCs w:val="32"/>
        </w:rPr>
        <w:t>持续实施基层党组织“对标争先”建设计划，</w:t>
      </w:r>
      <w:r>
        <w:rPr>
          <w:rFonts w:hint="eastAsia" w:ascii="仿宋_GB2312" w:hAnsi="黑体" w:eastAsia="仿宋_GB2312"/>
          <w:sz w:val="32"/>
          <w:szCs w:val="32"/>
        </w:rPr>
        <w:t>强化党建与教育教学工作的深度融合，为推动学院事业发展提供坚强的组织保障。</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2.政策依据</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中国共产党普通高等学校基层组织工作条例》强调，加强高校党建工作和党的基层组织建设，关键是坚持党对高校的领导，充分发挥好党委领导核心作用，为推动高等教育事业科学发展，提供坚强政治保证和制度保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（2）《高校党建“三抓三促进”行动方案》明确要求，高校党委要切实履行主体责任，抓基本制度建设，促进党委领导下的校长负责制落实；抓组织体系建设，促进党组织组织力全面提升；抓基础队伍建设，</w:t>
      </w:r>
      <w:r>
        <w:rPr>
          <w:rFonts w:ascii="仿宋_GB2312" w:hAnsi="黑体" w:eastAsia="仿宋_GB2312"/>
          <w:sz w:val="32"/>
          <w:szCs w:val="32"/>
        </w:rPr>
        <w:t>促进能力素质</w:t>
      </w:r>
      <w:r>
        <w:rPr>
          <w:rFonts w:hint="eastAsia" w:ascii="仿宋_GB2312" w:hAnsi="黑体" w:eastAsia="仿宋_GB2312"/>
          <w:sz w:val="32"/>
          <w:szCs w:val="32"/>
        </w:rPr>
        <w:t>全面</w:t>
      </w:r>
      <w:r>
        <w:rPr>
          <w:rFonts w:ascii="仿宋_GB2312" w:hAnsi="黑体" w:eastAsia="仿宋_GB2312"/>
          <w:sz w:val="32"/>
          <w:szCs w:val="32"/>
        </w:rPr>
        <w:t>提高</w:t>
      </w:r>
      <w:r>
        <w:rPr>
          <w:rFonts w:hint="eastAsia" w:ascii="仿宋_GB2312" w:hAnsi="黑体" w:eastAsia="仿宋_GB2312"/>
          <w:sz w:val="32"/>
          <w:szCs w:val="32"/>
        </w:rPr>
        <w:t>。</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3.建设目标与内容</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（1）健全完善组织工作体系。</w:t>
      </w:r>
      <w:r>
        <w:rPr>
          <w:rFonts w:hint="eastAsia" w:ascii="仿宋_GB2312" w:hAnsi="黑体" w:eastAsia="仿宋_GB2312"/>
          <w:sz w:val="32"/>
          <w:szCs w:val="32"/>
        </w:rPr>
        <w:t>牢固树立一切工作到支部的导向，</w:t>
      </w:r>
      <w:r>
        <w:rPr>
          <w:rFonts w:hint="eastAsia" w:ascii="仿宋_GB2312" w:hAnsi="仿宋_GB2312" w:eastAsia="仿宋_GB2312" w:cs="仿宋_GB2312"/>
          <w:sz w:val="32"/>
          <w:szCs w:val="32"/>
        </w:rPr>
        <w:t>优化调整学院基层党组织设置，</w:t>
      </w:r>
      <w:r>
        <w:rPr>
          <w:rFonts w:hint="eastAsia" w:ascii="仿宋_GB2312" w:hAnsi="黑体" w:eastAsia="仿宋_GB2312"/>
          <w:sz w:val="32"/>
          <w:szCs w:val="32"/>
        </w:rPr>
        <w:t>规范总支、支部委员职务设置与分工，着力构建学院党委、各党总支（直属党支部）、党员干部“三级联动”工作体系，全面推进党的思想、政治、组织、作</w:t>
      </w:r>
      <w:r>
        <w:rPr>
          <w:rFonts w:hint="eastAsia" w:ascii="仿宋_GB2312" w:hAnsi="仿宋_GB2312" w:eastAsia="仿宋_GB2312" w:cs="仿宋_GB2312"/>
          <w:sz w:val="32"/>
          <w:szCs w:val="32"/>
        </w:rPr>
        <w:t>风、纪律和制度建设，不断提高党的建设科学化、规范化、制度化水平。</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夯实基层党组织工作基础。深入贯彻《中国共产党普通高等学校基层组织工作条例》，严格执行“三会一课”、民主生活会、组织生活会、民主评议党员等制度，将所有党支部打造成政治功能强、队伍建设强、组织生活强、作风发挥强、群众工作强的“最强党支部”，提升党支部规范化标准化建设水平；持续推进教师党支部书记“双带头人”工程建设，推动党建工作与教学工作深度融合，特别是在教学改革、项目申报、校园维稳等工作中，充分发挥支部书记以及广大党员的先锋模范作用和引领带动作用，切实强化基层党组织的政治核心作用和战斗堡垒作用。</w:t>
      </w:r>
    </w:p>
    <w:p>
      <w:pPr>
        <w:widowControl/>
        <w:spacing w:line="560" w:lineRule="exact"/>
        <w:ind w:firstLine="640" w:firstLineChars="200"/>
        <w:rPr>
          <w:rFonts w:ascii="楷体_GB2312" w:eastAsia="楷体_GB2312"/>
          <w:sz w:val="32"/>
          <w:szCs w:val="32"/>
        </w:rPr>
      </w:pPr>
      <w:r>
        <w:rPr>
          <w:rFonts w:hint="eastAsia" w:ascii="仿宋_GB2312" w:hAnsi="仿宋_GB2312" w:eastAsia="仿宋_GB2312" w:cs="仿宋_GB2312"/>
          <w:sz w:val="32"/>
          <w:szCs w:val="32"/>
        </w:rPr>
        <w:t>（3）建设高素质专业化干部队伍。坚持党管干部原则，</w:t>
      </w:r>
      <w:r>
        <w:rPr>
          <w:rFonts w:hint="eastAsia" w:ascii="仿宋_GB2312" w:eastAsia="仿宋_GB2312"/>
          <w:color w:val="000000" w:themeColor="text1"/>
          <w:sz w:val="32"/>
          <w:szCs w:val="32"/>
        </w:rPr>
        <w:t>突出“德才兼备、人岗相适”要求，落实公开、公正、公平的选拔任用机制，</w:t>
      </w:r>
      <w:r>
        <w:rPr>
          <w:rFonts w:hint="eastAsia" w:ascii="仿宋_GB2312" w:hAnsi="微软雅黑" w:eastAsia="仿宋_GB2312"/>
          <w:color w:val="000000" w:themeColor="text1"/>
          <w:sz w:val="32"/>
          <w:szCs w:val="32"/>
        </w:rPr>
        <w:t>着力在选好干部、配强班子上下功夫，强化党员干部在学院教学发展中的“中流砥柱”作用。加大优秀年轻干部培养使用力度，制定并实施年轻干部素质提升计划，进一步优化干部结构，为推动学院高质量发展，做好做足干部储备工作。</w:t>
      </w:r>
    </w:p>
    <w:p>
      <w:pPr>
        <w:widowControl/>
        <w:spacing w:line="560" w:lineRule="exact"/>
        <w:ind w:firstLine="640" w:firstLineChars="200"/>
        <w:rPr>
          <w:rFonts w:ascii="仿宋_GB2312" w:eastAsia="仿宋_GB2312"/>
          <w:sz w:val="32"/>
          <w:szCs w:val="32"/>
        </w:rPr>
      </w:pPr>
      <w:r>
        <w:rPr>
          <w:rFonts w:hint="eastAsia" w:ascii="楷体_GB2312" w:eastAsia="楷体_GB2312"/>
          <w:sz w:val="32"/>
          <w:szCs w:val="32"/>
        </w:rPr>
        <w:t>（二）实施六核驱动、思政铸魂工程</w:t>
      </w:r>
    </w:p>
    <w:p>
      <w:pPr>
        <w:widowControl/>
        <w:spacing w:line="560" w:lineRule="exact"/>
        <w:ind w:firstLine="643" w:firstLineChars="200"/>
        <w:rPr>
          <w:rFonts w:ascii="仿宋_GB2312" w:eastAsia="仿宋_GB2312"/>
          <w:b/>
          <w:sz w:val="32"/>
          <w:szCs w:val="32"/>
        </w:rPr>
      </w:pPr>
      <w:r>
        <w:rPr>
          <w:rFonts w:hint="eastAsia" w:ascii="仿宋_GB2312" w:eastAsia="仿宋_GB2312"/>
          <w:b/>
          <w:sz w:val="32"/>
          <w:szCs w:val="32"/>
        </w:rPr>
        <w:t>1.项目简介</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以立德树人为根本，以理想信念教育为核心，以社会主义核心价值观为引领，以全面提高人才培养能力为关键，把立德树人融入思想道德、文化知识、社会实践教育各环节，加快构建内容完善、标准健全、运行科学、保障有力、成效显著的思想政治工作体系，形成全员全过程全方位育人格局。</w:t>
      </w:r>
    </w:p>
    <w:p>
      <w:pPr>
        <w:widowControl/>
        <w:spacing w:line="560" w:lineRule="exact"/>
        <w:ind w:firstLine="643" w:firstLineChars="200"/>
        <w:rPr>
          <w:rFonts w:ascii="仿宋_GB2312" w:eastAsia="仿宋_GB2312"/>
          <w:b/>
          <w:sz w:val="32"/>
          <w:szCs w:val="32"/>
        </w:rPr>
      </w:pPr>
      <w:r>
        <w:rPr>
          <w:rFonts w:hint="eastAsia" w:ascii="仿宋_GB2312" w:eastAsia="仿宋_GB2312"/>
          <w:b/>
          <w:sz w:val="32"/>
          <w:szCs w:val="32"/>
        </w:rPr>
        <w:t>2.政策依据</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（1）《高校思想政治工作质量提升工程实施纲要》明确“</w:t>
      </w:r>
      <w:r>
        <w:rPr>
          <w:rFonts w:ascii="仿宋_GB2312" w:eastAsia="仿宋_GB2312"/>
          <w:sz w:val="32"/>
          <w:szCs w:val="32"/>
        </w:rPr>
        <w:t>一体化构建内容完善、标准健全、运行科学、保障有力、成效显著的高校思想政治工作质量体系，形成全员全过程全方位育人格局</w:t>
      </w:r>
      <w:r>
        <w:rPr>
          <w:rFonts w:hint="eastAsia" w:ascii="仿宋_GB2312" w:eastAsia="仿宋_GB2312"/>
          <w:sz w:val="32"/>
          <w:szCs w:val="32"/>
        </w:rPr>
        <w:t>”的总体目标和“充分发挥课程、科研、实践、文化、网络、心理、管理、服务、资助、组织等方面工作的育人功能，挖掘育人要素，完善育人机制，优化评价机制，强化实施保障，切实构建‘十大’育人体系”的基本任务。</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关于加快构建高校思想政治工作体系的意见》明确的目标任务是“健全立德树人体制机制，把立德树人融入思想道德、文化知识、社会实践教育各环节，贯通学科体系、教学体系、教材体系、管理体系，加快构建目标明确、内容完善、标准健全、运行科学、保障有力、成效显著的高校思想政治工作体系。”</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3）《关于加强和改进新形势下高校思想政治工作的意见》强调，加强和改进高校思想政治工作，事关办什么样的大学、怎样办大学的根本问题，事关党对高校的领导，事关中国特色社会主义事业后继有人，是一项重大的政治任务和战略工程。</w:t>
      </w:r>
    </w:p>
    <w:p>
      <w:pPr>
        <w:widowControl/>
        <w:spacing w:line="560" w:lineRule="exact"/>
        <w:ind w:firstLine="643" w:firstLineChars="200"/>
        <w:rPr>
          <w:rFonts w:ascii="仿宋_GB2312" w:eastAsia="仿宋_GB2312"/>
          <w:sz w:val="32"/>
          <w:szCs w:val="32"/>
        </w:rPr>
      </w:pPr>
      <w:r>
        <w:rPr>
          <w:rFonts w:hint="eastAsia" w:ascii="仿宋_GB2312" w:eastAsia="仿宋_GB2312"/>
          <w:b/>
          <w:sz w:val="32"/>
          <w:szCs w:val="32"/>
        </w:rPr>
        <w:t>3.建设目标与内容</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（1）实施思想引领铸魂工程。牢牢把握意识形态工作领导权、话语权、主动权，切实守好高校意识形态阵地。</w:t>
      </w:r>
      <w:r>
        <w:rPr>
          <w:rFonts w:hint="eastAsia" w:ascii="仿宋_GB2312" w:hAnsi="仿宋_GB2312" w:eastAsia="仿宋_GB2312" w:cs="仿宋_GB2312"/>
          <w:color w:val="000000"/>
          <w:sz w:val="32"/>
          <w:szCs w:val="32"/>
        </w:rPr>
        <w:t>坚持用新时代党的创新理论凝心铸魂，推进习近平新时代中国特色社会主义思想进教材、进课堂、进师生头脑。</w:t>
      </w:r>
      <w:r>
        <w:rPr>
          <w:rFonts w:hint="eastAsia" w:ascii="仿宋_GB2312" w:eastAsia="仿宋_GB2312"/>
          <w:sz w:val="32"/>
          <w:szCs w:val="32"/>
        </w:rPr>
        <w:t>通过“三会一课”、理论宣讲、思想政治理论公开课等方式，</w:t>
      </w:r>
      <w:r>
        <w:rPr>
          <w:rFonts w:hint="eastAsia" w:ascii="仿宋_GB2312" w:hAnsi="仿宋_GB2312" w:eastAsia="仿宋_GB2312" w:cs="仿宋_GB2312"/>
          <w:color w:val="000000"/>
          <w:sz w:val="32"/>
          <w:szCs w:val="32"/>
        </w:rPr>
        <w:t>系统抓好以中国特色社会主义崇高信念为根本内容的理想信念教育、以铸牢中华民族共同体意识为核心内容的民族团结进步教育、以践行社会主义核心价值观为基本内容的公民道德教育、以劳模精神和工匠精神为主要内容的职业素养教育，</w:t>
      </w:r>
      <w:r>
        <w:rPr>
          <w:rFonts w:ascii="仿宋_GB2312" w:hAnsi="仿宋_GB2312" w:eastAsia="仿宋_GB2312" w:cs="仿宋_GB2312"/>
          <w:color w:val="000000"/>
          <w:sz w:val="32"/>
          <w:szCs w:val="32"/>
        </w:rPr>
        <w:t>增强</w:t>
      </w:r>
      <w:r>
        <w:rPr>
          <w:rFonts w:hint="eastAsia" w:ascii="仿宋_GB2312" w:hAnsi="仿宋_GB2312" w:eastAsia="仿宋_GB2312" w:cs="仿宋_GB2312"/>
          <w:color w:val="000000"/>
          <w:sz w:val="32"/>
          <w:szCs w:val="32"/>
        </w:rPr>
        <w:t>广大师生</w:t>
      </w:r>
      <w:r>
        <w:rPr>
          <w:rFonts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rPr>
        <w:t>实现</w:t>
      </w:r>
      <w:r>
        <w:rPr>
          <w:rFonts w:ascii="仿宋_GB2312" w:hAnsi="仿宋_GB2312" w:eastAsia="仿宋_GB2312" w:cs="仿宋_GB2312"/>
          <w:color w:val="000000"/>
          <w:sz w:val="32"/>
          <w:szCs w:val="32"/>
        </w:rPr>
        <w:t>中华民族伟大复兴作贡献</w:t>
      </w:r>
      <w:r>
        <w:rPr>
          <w:rFonts w:hint="eastAsia" w:ascii="仿宋_GB2312" w:hAnsi="仿宋_GB2312" w:eastAsia="仿宋_GB2312" w:cs="仿宋_GB2312"/>
          <w:color w:val="000000"/>
          <w:sz w:val="32"/>
          <w:szCs w:val="32"/>
        </w:rPr>
        <w:t>的</w:t>
      </w:r>
      <w:r>
        <w:rPr>
          <w:rFonts w:ascii="仿宋_GB2312" w:hAnsi="仿宋_GB2312" w:eastAsia="仿宋_GB2312" w:cs="仿宋_GB2312"/>
          <w:color w:val="000000"/>
          <w:sz w:val="32"/>
          <w:szCs w:val="32"/>
        </w:rPr>
        <w:t>责任感与使命感</w:t>
      </w:r>
      <w:r>
        <w:rPr>
          <w:rFonts w:hint="eastAsia" w:ascii="仿宋_GB2312" w:eastAsia="仿宋_GB2312"/>
          <w:sz w:val="32"/>
          <w:szCs w:val="32"/>
        </w:rPr>
        <w:t>。按照“分层培养、按需施教”的原则，分级分类开展好党员干部、青年团员和普通群众的学习宣传教育活动，引导师生增强“四个意识”、坚定“四个自信”、做到“两个维护”。以中国共产党成立100周年为新起点，持续抓好“四史”学习教育，传承红色基因、发扬革命传统。</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实施固本强基铸魂工程。强化组织保障，将思想政治工作贯穿各级党组织和群团组织建设全过程，增强各级党组织的育人保障功能和各类群团组织的育人纽带功能，不断提升党建引领思想政治工作水平，更好地发挥群团组织在学生成长过程中的凝聚、引导和服务作用。</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3）实施课堂教学铸魂工程。深化思政课改革创新，根据不同阶段学生的不同需求，优化课程供给，增强思政课的针对性和实效性；改变单向灌输、被动接受的教学方式，引入启发式、情景式、专题式、案例式、互动式的教学方法，使课堂“活”起来；开发适合新媒体传播的思政类精品视频公开课、资源共享课、微视频课、慕课等，增强思政课吸引力。贯彻落实《高等学校课程思政建设指导纲要》，统筹课程思政与思政课程建设，结合各门专业课特点，挖掘思政元素、更新课程标准，使课程思政与思政课程同向同行。</w:t>
      </w:r>
    </w:p>
    <w:p>
      <w:pPr>
        <w:widowControl/>
        <w:spacing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实施校园文化铸魂工程。推进以文化人、以文育人，结合“一系一品”建设，在院、系两级全力创建一批品位高雅、底蕴深厚、内涵丰富、特色鲜明，并且可示范、可引领、可辐射、可推广的思政工作品牌。积极推进院级活动精品化、系部活动专业化、支部活动常态化和社团活动特色化，发挥各类党团活动的育人作用。统筹推进美丽校园、文明校园、书香校园建设，培育良好校风、教风、学风，在守正创新中提升校园文化育人质量。</w:t>
      </w:r>
    </w:p>
    <w:p>
      <w:pPr>
        <w:widowControl/>
        <w:spacing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实施实践养成铸魂工程。坚持理论教育与实践养成相结合，重点抓好“第二课堂成绩单”制度的落实。完善“三下乡”社会实践平台建设，开展政策理论宣讲、文化艺术服务、科技支农帮扶等活动，让学生在实践中锻炼专业技能、厚植家国情怀。完善志愿服务平台建设，围绕关爱弱势群体、助力乡村振兴、加强生态保护、维护合法权益等主题，组织学生走进社区、走进企业、走进自然开展志愿服务活动，激发学生的责任意识和使命担当。完善科技创新平台建设，以专业技能赛事为抓手，深入开展学术科技与创新创业活动，将课堂所学转化为应用成果。完善实习实训平台建设，加强与底蕴深厚、信誉良好、氛围向上企业的合作，打造示范性实习实训基地，强化校企协同育人。完善勤工助学平台建设，精心设置岗位，合理计算薪酬，使学生在工作中实现经济收入和实践能力双丰收。</w:t>
      </w:r>
    </w:p>
    <w:p>
      <w:pPr>
        <w:widowControl/>
        <w:spacing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实施关爱成长铸魂工程。创新推动网络育人，线上线下相融合，实现优势互补，引导师生增强网络安全意识，养成文明健康的网络生活方式。大力促进心理育人，按照构建教育教学、实践活动、咨询服务、预防干预、平台保障“五位一体”心理健康教育工作格局的要求，常态化开展心理健康宣传活动，促进学生心理健康素质与思想道德素质、科学文化素质协调发展。切实强化管理育人，引导干部职工增强育人意识，在日常工作中以德立身、以德服人，提高育人能力。不断深化服务育人，充分发挥后勤保障、场馆设施、医疗卫生、安全保卫等各类服务岗位的育人功能，全方位构建线下“一站式”服务社区和线上校园综合信息服务系统，为学生提供高效、便捷、满意的服务。全面推进资助育人，把“扶困”与“扶智”、“扶困”与“扶志”结合起来，有针对性地开展励志教育、感恩教育、诚信教育，培养学生奋斗精神、进取精神、契约精神。</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（三）实施提质培优、创新育人工程</w:t>
      </w:r>
    </w:p>
    <w:p>
      <w:pPr>
        <w:widowControl/>
        <w:spacing w:line="560" w:lineRule="exact"/>
        <w:ind w:firstLine="643" w:firstLineChars="200"/>
        <w:rPr>
          <w:rFonts w:ascii="仿宋_GB2312" w:eastAsia="仿宋_GB2312"/>
          <w:sz w:val="32"/>
          <w:szCs w:val="32"/>
        </w:rPr>
      </w:pPr>
      <w:r>
        <w:rPr>
          <w:rFonts w:hint="eastAsia" w:ascii="仿宋_GB2312" w:hAnsi="仿宋" w:eastAsia="仿宋_GB2312"/>
          <w:b/>
          <w:sz w:val="32"/>
          <w:szCs w:val="36"/>
        </w:rPr>
        <w:t>1.项目简介</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人才培养质量是高等教育的生命线，提升人才培养质量即通过构建高水平的人才培养体系，建设以课程和教材为重点的教学体系，建设有利于学生成长、成才、成功的管理体系和学业成绩评价体系，在学生评价标准、人才培养模式、教学质量管控、教育管理运行等方面加强实践探索，培养高素质技术技能人才。</w:t>
      </w:r>
    </w:p>
    <w:p>
      <w:pPr>
        <w:widowControl/>
        <w:spacing w:line="560" w:lineRule="exact"/>
        <w:ind w:firstLine="643" w:firstLineChars="200"/>
        <w:rPr>
          <w:rFonts w:ascii="仿宋_GB2312" w:eastAsia="仿宋_GB2312"/>
          <w:sz w:val="32"/>
          <w:szCs w:val="32"/>
        </w:rPr>
      </w:pPr>
      <w:r>
        <w:rPr>
          <w:rFonts w:hint="eastAsia" w:ascii="仿宋_GB2312" w:hAnsi="仿宋" w:eastAsia="仿宋_GB2312"/>
          <w:b/>
          <w:sz w:val="32"/>
          <w:szCs w:val="36"/>
        </w:rPr>
        <w:t>2.政策依据</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1）《国家职业教育改革实施方案》指出：“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职业教育提质培优行动计划（2020—2023年）》提出，职业教育提质培优主要目标之一即“办学水平、人才培养质量和就业质量整体提升，职业教育的吸引力和社会认可度大幅提高，有效支撑地方经济社会发展和国家重大战略”。</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3）《教育部关于深化职业教育教学改革全面提高人才培养质量的若干意见》指出，以立德树人为根本，以服务发展为宗旨，以促进就业为导向，坚持走内涵式发展道路，适应经济发展新常态和技术技能人才成长成才需要，完善产教融合、协同育人机制，创新人才培养模式，构建教学标准体系，健全教学质量管理和保障制度，以增强学生就业创业能力为核心，加强思想道德、人文素养教育和技术技能培养，全面提高人才培养质量。</w:t>
      </w:r>
    </w:p>
    <w:p>
      <w:pPr>
        <w:widowControl/>
        <w:spacing w:line="560" w:lineRule="exact"/>
        <w:ind w:firstLine="643" w:firstLineChars="200"/>
        <w:rPr>
          <w:rFonts w:ascii="仿宋_GB2312" w:eastAsia="仿宋_GB2312"/>
          <w:sz w:val="32"/>
          <w:szCs w:val="32"/>
        </w:rPr>
      </w:pPr>
      <w:r>
        <w:rPr>
          <w:rFonts w:hint="eastAsia" w:ascii="仿宋_GB2312" w:hAnsi="仿宋" w:eastAsia="仿宋_GB2312"/>
          <w:b/>
          <w:sz w:val="32"/>
          <w:szCs w:val="36"/>
        </w:rPr>
        <w:t>3.建设目标与内容</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1）创新多样化的人才培养模式。根据《教育部关于职业院校专业人才培养方案制订与实施工作的指导意见》有关要求，分类制订人才培养方案。积极落实1+X证书制度，参与国家“学分银行”试点，探索实行弹性学分制管理，完善完全学分制管理制度、学分转换制度，严把毕业出口关。加强现代学徒制试点建设，稳步推行新学徒制、订单培养等人才培养模式改革，加强与行业企业合作，探索校企联合培养应用型、创新型人才。尝试国际化人才培养。</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完善精品课程建设。加强网络课程平台与在线课程建设，充分利用信息化、智能化手段，立项建设50门学院精品在线课程，8门自治区精品在线课程，力争在国家精品在线开放课程建设方面取得零的突破。以五育并举为导向，深化课堂教学改革，着力强化公共基础课程、公共选修课程、专业核心课程建设，增强</w:t>
      </w:r>
      <w:r>
        <w:rPr>
          <w:rFonts w:ascii="仿宋_GB2312" w:eastAsia="仿宋_GB2312"/>
          <w:sz w:val="32"/>
          <w:szCs w:val="32"/>
        </w:rPr>
        <w:t>体育</w:t>
      </w:r>
      <w:r>
        <w:rPr>
          <w:rFonts w:hint="eastAsia" w:ascii="仿宋_GB2312" w:eastAsia="仿宋_GB2312"/>
          <w:sz w:val="32"/>
          <w:szCs w:val="32"/>
        </w:rPr>
        <w:t>、</w:t>
      </w:r>
      <w:r>
        <w:rPr>
          <w:rFonts w:ascii="仿宋_GB2312" w:eastAsia="仿宋_GB2312"/>
          <w:sz w:val="32"/>
          <w:szCs w:val="32"/>
        </w:rPr>
        <w:t>美育</w:t>
      </w:r>
      <w:r>
        <w:rPr>
          <w:rFonts w:hint="eastAsia" w:ascii="仿宋_GB2312" w:eastAsia="仿宋_GB2312"/>
          <w:sz w:val="32"/>
          <w:szCs w:val="32"/>
        </w:rPr>
        <w:t>、</w:t>
      </w:r>
      <w:r>
        <w:rPr>
          <w:rFonts w:ascii="仿宋_GB2312" w:eastAsia="仿宋_GB2312"/>
          <w:sz w:val="32"/>
          <w:szCs w:val="32"/>
        </w:rPr>
        <w:t>劳动教育</w:t>
      </w:r>
      <w:r>
        <w:rPr>
          <w:rFonts w:hint="eastAsia" w:ascii="仿宋_GB2312" w:eastAsia="仿宋_GB2312"/>
          <w:sz w:val="32"/>
          <w:szCs w:val="32"/>
        </w:rPr>
        <w:t>的实效性，促进学生德智体美劳全面发展。积极探索思政课程的教学改革，建设思想政治课示范课堂10个，形成具有职业教育特点的课程思政教育案例10个。</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3）强化创新创业引领。加强实践教学基地建设，建设示范性虚拟仿真实训基地1个，建设具有辐射引领作用的高水平专业化产教融合实训基地3个，力争在国家级、自治区级技能大赛中，再获得2项国家级奖项和10项自治区级奖项。实施“大学生创新创业训练计划”，以提升创新创业能力为目标，完善大学生创新创业基地建设，办好大学生创新创业大赛，形成“一系一基地、一系一赛事”的创新创业格局，力争在“挑战杯”“创青春”竞赛中，再获得1项国家级奖项和20项自治区级奖项。加强创新创业理论研究，力争在“十四五”期间发表学术成果50篇，获批专利5项。</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4）健全教学质量监控和保障机制。构建多主体、多形式、多手段、全过程的教学质量保障与评价体系，强化教学目标管理，控制教学关键环节；充分利用信息化手段，提升教学质量监控效果，完善教学质量评价机制。积极申报自治区级、国家级教学改革与研究项目，力争获得国家级教学成果奖1项、自治区级教学成果奖2项；认真总结教学研究成果，用高水平的研究成果指导教学，促进人才培养质量进一步提高。</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5）稳步推进教材建设。加强对各类教材的审核，严把政治关、质量关，从源头上筑牢意识形态防线。紧密跟随产业和行业的发展变化，积极探索“活页式”“手册式”“立体式”教材的编写和使用，确保高质量教材和最新研究成果进课堂。依托教材建设成果，努力建成2门以上省级资源共享课程和1门以上国家级资源共享课程。</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6）深化课堂教学模式改革。建立以能力提升为核心的课堂教学模式，利用现代智能信息技术，在真实或虚拟的职业情境中开展教学活动，以学生为中心，重塑教学过程中教师与学生的互动关系，让教师成为学生学习的“引路人”，提升学生主动学习、独立思考、实践操作的能力。</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（四）实施产业主导、专业升级工程</w:t>
      </w:r>
    </w:p>
    <w:p>
      <w:pPr>
        <w:widowControl/>
        <w:spacing w:line="560" w:lineRule="exact"/>
        <w:ind w:firstLine="643" w:firstLineChars="200"/>
        <w:rPr>
          <w:rFonts w:ascii="仿宋_GB2312" w:eastAsia="仿宋_GB2312"/>
          <w:sz w:val="32"/>
          <w:szCs w:val="32"/>
        </w:rPr>
      </w:pPr>
      <w:bookmarkStart w:id="9" w:name="_Toc68598857"/>
      <w:bookmarkStart w:id="10" w:name="_Hlk68107952"/>
      <w:r>
        <w:rPr>
          <w:rStyle w:val="26"/>
          <w:rFonts w:hint="eastAsia" w:ascii="仿宋_GB2312" w:eastAsia="仿宋_GB2312"/>
          <w:sz w:val="32"/>
          <w:szCs w:val="32"/>
        </w:rPr>
        <w:t>1.项目简介</w:t>
      </w:r>
      <w:bookmarkEnd w:id="9"/>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立足市场需求和高质量发展对高素质技术技能型人才的需求，顺应产业发展趋势，聚焦专业群建设，以专业标准化建设为基础，创新专业及专业群人才培养模式，并通过建立完善专业认证与评估体系，不断提升专业建设质量和水平。</w:t>
      </w:r>
    </w:p>
    <w:p>
      <w:pPr>
        <w:widowControl/>
        <w:spacing w:line="560" w:lineRule="exact"/>
        <w:ind w:firstLine="643" w:firstLineChars="200"/>
        <w:rPr>
          <w:rFonts w:ascii="仿宋_GB2312" w:eastAsia="仿宋_GB2312"/>
          <w:b/>
          <w:bCs/>
        </w:rPr>
      </w:pPr>
      <w:bookmarkStart w:id="11" w:name="_Toc68598858"/>
      <w:r>
        <w:rPr>
          <w:rStyle w:val="26"/>
          <w:rFonts w:hint="eastAsia" w:ascii="仿宋_GB2312" w:eastAsia="仿宋_GB2312"/>
          <w:sz w:val="32"/>
          <w:szCs w:val="32"/>
        </w:rPr>
        <w:t>2.政策依据</w:t>
      </w:r>
      <w:bookmarkEnd w:id="10"/>
      <w:bookmarkEnd w:id="11"/>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（1）《国家职业教育改革实施方案》第三条明确，启动实施中国特色高水平高等职业学校和专业建设计划，建设一批引领改革、支撑发展、中国特色、世界水平的高等职业学校和骨干专业（群）。</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（2）《中国教育现代化2035》第六大战略任务指出，推动职业教育与产业发展有机衔接、深度融合，集中力量建成一批中国特色高水平职业院校和专业。</w:t>
      </w:r>
    </w:p>
    <w:p>
      <w:pPr>
        <w:widowControl/>
        <w:spacing w:line="560" w:lineRule="exact"/>
        <w:ind w:firstLine="643" w:firstLineChars="200"/>
        <w:rPr>
          <w:rFonts w:ascii="仿宋_GB2312" w:eastAsia="仿宋_GB2312"/>
          <w:sz w:val="32"/>
          <w:szCs w:val="32"/>
        </w:rPr>
      </w:pPr>
      <w:bookmarkStart w:id="12" w:name="_Toc68598859"/>
      <w:bookmarkStart w:id="13" w:name="_Hlk68108874"/>
      <w:r>
        <w:rPr>
          <w:rStyle w:val="26"/>
          <w:rFonts w:hint="eastAsia" w:ascii="仿宋_GB2312" w:eastAsia="仿宋_GB2312"/>
          <w:sz w:val="32"/>
          <w:szCs w:val="32"/>
        </w:rPr>
        <w:t>3.建设目标与内容</w:t>
      </w:r>
      <w:bookmarkEnd w:id="12"/>
    </w:p>
    <w:bookmarkEnd w:id="13"/>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1）建设高水平的专业及专业群。根据地方经济社会发展需求以及发展新兴专业、交叉专业的思路，调整专业结构，增强人才培养适应性。全力打造1-2个本科职业教育专业，高职专业控制在50个左右，中职专业控制在25个左右。重点建设机电、蒙医蒙药、医疗护理、经济管理4大专业群，不断优化调整专业结构和布局，建成院级专业群12个，自治区级专业群2-3个，国家级高水平专业群1个。优化提升已有专业，全力</w:t>
      </w:r>
      <w:r>
        <w:rPr>
          <w:rFonts w:ascii="仿宋_GB2312" w:eastAsia="仿宋_GB2312"/>
          <w:sz w:val="32"/>
          <w:szCs w:val="32"/>
        </w:rPr>
        <w:t>满足</w:t>
      </w:r>
      <w:r>
        <w:rPr>
          <w:rFonts w:hint="eastAsia" w:ascii="仿宋_GB2312" w:eastAsia="仿宋_GB2312"/>
          <w:sz w:val="32"/>
          <w:szCs w:val="32"/>
        </w:rPr>
        <w:t>自治区和我市</w:t>
      </w:r>
      <w:r>
        <w:rPr>
          <w:rFonts w:ascii="仿宋_GB2312" w:eastAsia="仿宋_GB2312"/>
          <w:sz w:val="32"/>
          <w:szCs w:val="32"/>
        </w:rPr>
        <w:t>新型化工、先进装备</w:t>
      </w:r>
      <w:r>
        <w:rPr>
          <w:rFonts w:hint="eastAsia" w:ascii="仿宋_GB2312" w:eastAsia="仿宋_GB2312"/>
          <w:sz w:val="32"/>
          <w:szCs w:val="32"/>
        </w:rPr>
        <w:t>制造、</w:t>
      </w:r>
      <w:r>
        <w:rPr>
          <w:rFonts w:ascii="仿宋_GB2312" w:eastAsia="仿宋_GB2312"/>
          <w:sz w:val="32"/>
          <w:szCs w:val="32"/>
        </w:rPr>
        <w:t>人工智能以及养老、健康、托育等社会服务产业人才需求</w:t>
      </w:r>
      <w:r>
        <w:rPr>
          <w:rFonts w:hint="eastAsia" w:ascii="仿宋_GB2312" w:eastAsia="仿宋_GB2312"/>
          <w:sz w:val="32"/>
          <w:szCs w:val="32"/>
        </w:rPr>
        <w:t>；围绕数字经济、现代物流、全域旅游、冰雪产业、清洁能源、生物医药、大数据等产业领域，适时增设新专业。</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制定高质量的人才培养方案。按照教育部人才培养方案制定指导意见，结合新时代人才培养目标，健全人才需求分析研判机制，完善人才培养方案。充分发挥专业建设指导委员会作用，负责指导专业、课程设置和人才培养模式改革。在深入调研的基础上，遵循各岗位工作实际，分解工作任务，整体系统设计产教融合的专业人才培养方案。</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3）完善切合实际的课程标准。建立健全课程标准开发机制，密切跟踪新技术、新模式、新业态发展，确保课程培养目标适应岗位任务要求、教学内容体现主流技术。每个专业每年完成5门以上专业课程的课程标准开发与修订完善，到2022年完成所有专业课程的课程标准开发和修订，并建立3年一次的课程标准修订机制。</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4）强化专业评估与质量保障。加强专业建设的规范管理，引入第三方开展专业认证与评估，以学前教育专业认证为示范，指导其他专业的专业认证工作；对传统专业、新兴专业、特色专业制定不同的评价标准，并配套相应的激励措施，以形成有效的竞争机制。健全专业动态调整机制，按照呼伦贝尔市经济社会发展需求，有针对性地调整专业设置。压实专业负责人责任，明确由专业负责人主持优化课程建设、建强师资队伍，提升专业建设质量。</w:t>
      </w:r>
    </w:p>
    <w:p>
      <w:pPr>
        <w:widowControl/>
        <w:spacing w:line="560" w:lineRule="exact"/>
        <w:ind w:firstLine="640" w:firstLineChars="200"/>
        <w:rPr>
          <w:rFonts w:ascii="仿宋_GB2312" w:eastAsia="仿宋_GB2312"/>
          <w:sz w:val="32"/>
          <w:szCs w:val="32"/>
        </w:rPr>
      </w:pPr>
      <w:r>
        <w:rPr>
          <w:rFonts w:hint="eastAsia" w:ascii="楷体_GB2312" w:eastAsia="楷体_GB2312"/>
          <w:sz w:val="32"/>
          <w:szCs w:val="32"/>
        </w:rPr>
        <w:t>（五）实施校企共赢、协同育人工程</w:t>
      </w:r>
    </w:p>
    <w:p>
      <w:pPr>
        <w:widowControl/>
        <w:spacing w:line="560" w:lineRule="exact"/>
        <w:ind w:firstLine="643" w:firstLineChars="200"/>
        <w:rPr>
          <w:rFonts w:ascii="仿宋_GB2312" w:eastAsia="仿宋_GB2312"/>
          <w:b/>
          <w:sz w:val="32"/>
          <w:szCs w:val="32"/>
        </w:rPr>
      </w:pPr>
      <w:r>
        <w:rPr>
          <w:rFonts w:ascii="仿宋_GB2312" w:eastAsia="仿宋_GB2312"/>
          <w:b/>
          <w:sz w:val="32"/>
          <w:szCs w:val="32"/>
        </w:rPr>
        <w:t>1.项目简介</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深化产教融合，促进教育链、人才链与产业链、创新链有机衔接。</w:t>
      </w:r>
      <w:r>
        <w:rPr>
          <w:rFonts w:ascii="仿宋_GB2312" w:eastAsia="仿宋_GB2312"/>
          <w:sz w:val="32"/>
          <w:szCs w:val="32"/>
        </w:rPr>
        <w:t>坚持应社会所需、与市场接轨、实践与理论</w:t>
      </w:r>
      <w:r>
        <w:rPr>
          <w:rFonts w:hint="eastAsia" w:ascii="仿宋_GB2312" w:eastAsia="仿宋_GB2312"/>
          <w:sz w:val="32"/>
          <w:szCs w:val="32"/>
        </w:rPr>
        <w:t>相结合的理念，充分发挥学院和企业各自优势，实现资源共享互补，共同践行提质培优，为学院培育高质量应用型人才奠定坚实基础。</w:t>
      </w:r>
    </w:p>
    <w:p>
      <w:pPr>
        <w:widowControl/>
        <w:spacing w:line="560" w:lineRule="exact"/>
        <w:ind w:firstLine="643" w:firstLineChars="200"/>
        <w:rPr>
          <w:rFonts w:ascii="仿宋_GB2312" w:eastAsia="仿宋_GB2312"/>
          <w:b/>
          <w:sz w:val="32"/>
          <w:szCs w:val="32"/>
        </w:rPr>
      </w:pPr>
      <w:r>
        <w:rPr>
          <w:rFonts w:ascii="仿宋_GB2312" w:eastAsia="仿宋_GB2312"/>
          <w:b/>
          <w:sz w:val="32"/>
          <w:szCs w:val="32"/>
        </w:rPr>
        <w:t>2.政策依据</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十九大报告第八部分</w:t>
      </w:r>
      <w:r>
        <w:rPr>
          <w:rFonts w:hint="eastAsia" w:ascii="仿宋_GB2312" w:eastAsia="仿宋_GB2312"/>
          <w:sz w:val="32"/>
          <w:szCs w:val="32"/>
        </w:rPr>
        <w:t>“</w:t>
      </w:r>
      <w:r>
        <w:rPr>
          <w:rFonts w:ascii="仿宋_GB2312" w:eastAsia="仿宋_GB2312"/>
          <w:sz w:val="32"/>
          <w:szCs w:val="32"/>
        </w:rPr>
        <w:t>提高保障和改善民生水平，加</w:t>
      </w:r>
      <w:r>
        <w:rPr>
          <w:rFonts w:hint="eastAsia" w:ascii="仿宋_GB2312" w:eastAsia="仿宋_GB2312"/>
          <w:sz w:val="32"/>
          <w:szCs w:val="32"/>
        </w:rPr>
        <w:t>强和创新社会治理”第一项内容“优先发展教育事业”中指出，“完善职业教育和培训体系，深化产教融合、校企合作”。</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国家职业教育改革实施方案》第十项任务“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国家发改委、教育部《建</w:t>
      </w:r>
      <w:r>
        <w:rPr>
          <w:rFonts w:hint="eastAsia" w:ascii="仿宋_GB2312" w:eastAsia="仿宋_GB2312"/>
          <w:sz w:val="32"/>
          <w:szCs w:val="32"/>
        </w:rPr>
        <w:t>设产教融合型企业实施办法（试行）》《国家产教融合建设试点实施方案》规定，学院以行业和产业的实际情况出发，探索出“互动共赢”校企合作运行机制，成功实现中、高职教育模式的转型。</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教育部、工业和信息化部联合发布的《现代产业学院</w:t>
      </w:r>
      <w:r>
        <w:rPr>
          <w:rFonts w:hint="eastAsia" w:ascii="仿宋_GB2312" w:eastAsia="仿宋_GB2312"/>
          <w:sz w:val="32"/>
          <w:szCs w:val="32"/>
        </w:rPr>
        <w:t>建设指南（试行）》明确指出，以区域产业发展急需为牵引，面向行业特色鲜明、与产业联系紧密的高校，建设若干高校与地方政府、行业企业等多主体共建共管共享的现代产业学院，造就大批产业需要的高素质应用型、复合型、创新型人才，为提高产业竞争力和汇聚发展新动能提供人才支持和智力支撑。</w:t>
      </w:r>
    </w:p>
    <w:p>
      <w:pPr>
        <w:widowControl/>
        <w:spacing w:line="560" w:lineRule="exact"/>
        <w:ind w:firstLine="643" w:firstLineChars="200"/>
        <w:rPr>
          <w:rFonts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rPr>
        <w:t>.</w:t>
      </w:r>
      <w:r>
        <w:rPr>
          <w:rFonts w:ascii="仿宋_GB2312" w:eastAsia="仿宋_GB2312"/>
          <w:b/>
          <w:sz w:val="32"/>
          <w:szCs w:val="32"/>
        </w:rPr>
        <w:t>建设目标与内容</w:t>
      </w:r>
    </w:p>
    <w:p>
      <w:pPr>
        <w:widowControl/>
        <w:spacing w:line="560" w:lineRule="exact"/>
        <w:ind w:firstLine="640" w:firstLineChars="200"/>
        <w:rPr>
          <w:rFonts w:ascii="仿宋_GB2312" w:eastAsia="仿宋_GB2312"/>
          <w:sz w:val="32"/>
          <w:szCs w:val="32"/>
        </w:rPr>
      </w:pPr>
      <w:r>
        <w:rPr>
          <w:rFonts w:ascii="仿宋_GB2312" w:eastAsia="仿宋_GB2312"/>
          <w:sz w:val="32"/>
          <w:szCs w:val="32"/>
        </w:rPr>
        <w:t>（1）深化与行业企业协同</w:t>
      </w:r>
      <w:r>
        <w:rPr>
          <w:rFonts w:hint="eastAsia" w:ascii="仿宋_GB2312" w:eastAsia="仿宋_GB2312"/>
          <w:sz w:val="32"/>
          <w:szCs w:val="32"/>
        </w:rPr>
        <w:t>育</w:t>
      </w:r>
      <w:r>
        <w:rPr>
          <w:rFonts w:ascii="仿宋_GB2312" w:eastAsia="仿宋_GB2312"/>
          <w:sz w:val="32"/>
          <w:szCs w:val="32"/>
        </w:rPr>
        <w:t>人改革。建立紧密对接产业链、服务创新链的</w:t>
      </w:r>
      <w:r>
        <w:rPr>
          <w:rFonts w:hint="eastAsia" w:ascii="仿宋_GB2312" w:eastAsia="仿宋_GB2312"/>
          <w:sz w:val="32"/>
          <w:szCs w:val="32"/>
        </w:rPr>
        <w:t>人才培养</w:t>
      </w:r>
      <w:r>
        <w:rPr>
          <w:rFonts w:ascii="仿宋_GB2312" w:eastAsia="仿宋_GB2312"/>
          <w:sz w:val="32"/>
          <w:szCs w:val="32"/>
        </w:rPr>
        <w:t>体系，支持企</w:t>
      </w:r>
      <w:r>
        <w:rPr>
          <w:rFonts w:hint="eastAsia" w:ascii="仿宋_GB2312" w:eastAsia="仿宋_GB2312"/>
          <w:sz w:val="32"/>
          <w:szCs w:val="32"/>
        </w:rPr>
        <w:t>业深</w:t>
      </w:r>
      <w:r>
        <w:rPr>
          <w:rFonts w:ascii="仿宋_GB2312" w:eastAsia="仿宋_GB2312"/>
          <w:sz w:val="32"/>
          <w:szCs w:val="32"/>
        </w:rPr>
        <w:t>度参与</w:t>
      </w:r>
      <w:r>
        <w:rPr>
          <w:rFonts w:hint="eastAsia" w:ascii="仿宋_GB2312" w:eastAsia="仿宋_GB2312"/>
          <w:sz w:val="32"/>
          <w:szCs w:val="32"/>
        </w:rPr>
        <w:t>学院</w:t>
      </w:r>
      <w:r>
        <w:rPr>
          <w:rFonts w:ascii="仿宋_GB2312" w:eastAsia="仿宋_GB2312"/>
          <w:sz w:val="32"/>
          <w:szCs w:val="32"/>
        </w:rPr>
        <w:t>人才培养</w:t>
      </w:r>
      <w:r>
        <w:rPr>
          <w:rFonts w:hint="eastAsia" w:ascii="仿宋_GB2312" w:eastAsia="仿宋_GB2312"/>
          <w:sz w:val="32"/>
          <w:szCs w:val="32"/>
        </w:rPr>
        <w:t>工作，</w:t>
      </w:r>
      <w:r>
        <w:rPr>
          <w:rFonts w:ascii="仿宋_GB2312" w:eastAsia="仿宋_GB2312"/>
          <w:sz w:val="32"/>
          <w:szCs w:val="32"/>
        </w:rPr>
        <w:t>推动校企共建专业、共同制定人才培养方案、合作开发教学资源</w:t>
      </w:r>
      <w:r>
        <w:rPr>
          <w:rFonts w:hint="eastAsia" w:ascii="仿宋_GB2312" w:eastAsia="仿宋_GB2312"/>
          <w:sz w:val="32"/>
          <w:szCs w:val="32"/>
        </w:rPr>
        <w:t>，编写出版</w:t>
      </w:r>
      <w:r>
        <w:rPr>
          <w:rFonts w:ascii="仿宋_GB2312" w:eastAsia="仿宋_GB2312"/>
          <w:sz w:val="32"/>
          <w:szCs w:val="32"/>
        </w:rPr>
        <w:t>10</w:t>
      </w:r>
      <w:r>
        <w:rPr>
          <w:rFonts w:hint="eastAsia" w:ascii="仿宋_GB2312" w:eastAsia="仿宋_GB2312"/>
          <w:sz w:val="32"/>
          <w:szCs w:val="32"/>
        </w:rPr>
        <w:t>本</w:t>
      </w:r>
      <w:r>
        <w:rPr>
          <w:rFonts w:ascii="仿宋_GB2312" w:eastAsia="仿宋_GB2312"/>
          <w:sz w:val="32"/>
          <w:szCs w:val="32"/>
        </w:rPr>
        <w:t>校企双元合作开发的职业教育规划教材</w:t>
      </w:r>
      <w:r>
        <w:rPr>
          <w:rFonts w:hint="eastAsia" w:ascii="仿宋_GB2312" w:eastAsia="仿宋_GB2312"/>
          <w:sz w:val="32"/>
          <w:szCs w:val="32"/>
        </w:rPr>
        <w:t>。大力推进新</w:t>
      </w:r>
      <w:r>
        <w:rPr>
          <w:rFonts w:ascii="仿宋_GB2312" w:eastAsia="仿宋_GB2312"/>
          <w:sz w:val="32"/>
          <w:szCs w:val="32"/>
        </w:rPr>
        <w:t>学徒制</w:t>
      </w:r>
      <w:r>
        <w:rPr>
          <w:rFonts w:hint="eastAsia" w:ascii="仿宋_GB2312" w:eastAsia="仿宋_GB2312"/>
          <w:sz w:val="32"/>
          <w:szCs w:val="32"/>
        </w:rPr>
        <w:t>，</w:t>
      </w:r>
      <w:r>
        <w:rPr>
          <w:rFonts w:ascii="仿宋_GB2312" w:eastAsia="仿宋_GB2312"/>
          <w:sz w:val="32"/>
          <w:szCs w:val="32"/>
        </w:rPr>
        <w:t>扩大企业</w:t>
      </w:r>
      <w:r>
        <w:rPr>
          <w:rFonts w:hint="eastAsia" w:ascii="仿宋_GB2312" w:eastAsia="仿宋_GB2312"/>
          <w:sz w:val="32"/>
          <w:szCs w:val="32"/>
        </w:rPr>
        <w:t>“订单</w:t>
      </w:r>
      <w:r>
        <w:rPr>
          <w:rFonts w:ascii="仿宋_GB2312" w:eastAsia="仿宋_GB2312"/>
          <w:sz w:val="32"/>
          <w:szCs w:val="32"/>
        </w:rPr>
        <w:t>式</w:t>
      </w:r>
      <w:r>
        <w:rPr>
          <w:rFonts w:hint="eastAsia" w:ascii="仿宋_GB2312" w:eastAsia="仿宋_GB2312"/>
          <w:sz w:val="32"/>
          <w:szCs w:val="32"/>
        </w:rPr>
        <w:t>”</w:t>
      </w:r>
      <w:r>
        <w:rPr>
          <w:rFonts w:ascii="仿宋_GB2312" w:eastAsia="仿宋_GB2312"/>
          <w:sz w:val="32"/>
          <w:szCs w:val="32"/>
        </w:rPr>
        <w:t>培养规模，形成校企联合招生、联合培养、</w:t>
      </w:r>
      <w:r>
        <w:rPr>
          <w:rFonts w:hint="eastAsia" w:ascii="仿宋_GB2312" w:eastAsia="仿宋_GB2312"/>
          <w:sz w:val="32"/>
          <w:szCs w:val="32"/>
        </w:rPr>
        <w:t>资源共享</w:t>
      </w:r>
      <w:r>
        <w:rPr>
          <w:rFonts w:ascii="仿宋_GB2312" w:eastAsia="仿宋_GB2312"/>
          <w:sz w:val="32"/>
          <w:szCs w:val="32"/>
        </w:rPr>
        <w:t>、协同育人的长效</w:t>
      </w:r>
      <w:r>
        <w:rPr>
          <w:rFonts w:hint="eastAsia" w:ascii="仿宋_GB2312" w:eastAsia="仿宋_GB2312"/>
          <w:sz w:val="32"/>
          <w:szCs w:val="32"/>
        </w:rPr>
        <w:t>机制，针对不同生源的特点，灵活学制、分类管理、分类教学，保证培养质量。</w:t>
      </w:r>
      <w:r>
        <w:rPr>
          <w:rFonts w:ascii="仿宋_GB2312" w:eastAsia="仿宋_GB2312"/>
          <w:sz w:val="32"/>
          <w:szCs w:val="32"/>
        </w:rPr>
        <w:t>从学院骨干专业</w:t>
      </w:r>
      <w:r>
        <w:rPr>
          <w:rFonts w:hint="eastAsia" w:ascii="仿宋_GB2312" w:eastAsia="仿宋_GB2312"/>
          <w:sz w:val="32"/>
          <w:szCs w:val="32"/>
        </w:rPr>
        <w:t>（群）</w:t>
      </w:r>
      <w:r>
        <w:rPr>
          <w:rFonts w:ascii="仿宋_GB2312" w:eastAsia="仿宋_GB2312"/>
          <w:sz w:val="32"/>
          <w:szCs w:val="32"/>
        </w:rPr>
        <w:t>、重点专业</w:t>
      </w:r>
      <w:r>
        <w:rPr>
          <w:rFonts w:hint="eastAsia" w:ascii="仿宋_GB2312" w:eastAsia="仿宋_GB2312"/>
          <w:sz w:val="32"/>
          <w:szCs w:val="32"/>
        </w:rPr>
        <w:t>（群）中</w:t>
      </w:r>
      <w:r>
        <w:rPr>
          <w:rFonts w:ascii="仿宋_GB2312" w:eastAsia="仿宋_GB2312"/>
          <w:sz w:val="32"/>
          <w:szCs w:val="32"/>
        </w:rPr>
        <w:t>遴选</w:t>
      </w:r>
      <w:r>
        <w:rPr>
          <w:rFonts w:hint="eastAsia" w:ascii="仿宋_GB2312" w:eastAsia="仿宋_GB2312"/>
          <w:sz w:val="32"/>
          <w:szCs w:val="32"/>
        </w:rPr>
        <w:t>3</w:t>
      </w:r>
      <w:r>
        <w:rPr>
          <w:rFonts w:ascii="仿宋_GB2312" w:eastAsia="仿宋_GB2312"/>
          <w:sz w:val="32"/>
          <w:szCs w:val="32"/>
        </w:rPr>
        <w:t>-5</w:t>
      </w:r>
      <w:r>
        <w:rPr>
          <w:rFonts w:hint="eastAsia" w:ascii="仿宋_GB2312" w:eastAsia="仿宋_GB2312"/>
          <w:sz w:val="32"/>
          <w:szCs w:val="32"/>
        </w:rPr>
        <w:t>个</w:t>
      </w:r>
      <w:r>
        <w:rPr>
          <w:rFonts w:ascii="仿宋_GB2312" w:eastAsia="仿宋_GB2312"/>
          <w:sz w:val="32"/>
          <w:szCs w:val="32"/>
        </w:rPr>
        <w:t>具有辐射引领作用</w:t>
      </w:r>
      <w:r>
        <w:rPr>
          <w:rFonts w:hint="eastAsia" w:ascii="仿宋_GB2312" w:eastAsia="仿宋_GB2312"/>
          <w:sz w:val="32"/>
          <w:szCs w:val="32"/>
        </w:rPr>
        <w:t>的专业（群），与企业共同建设</w:t>
      </w:r>
      <w:r>
        <w:rPr>
          <w:rFonts w:ascii="仿宋_GB2312" w:eastAsia="仿宋_GB2312"/>
          <w:sz w:val="32"/>
          <w:szCs w:val="32"/>
        </w:rPr>
        <w:t>3个</w:t>
      </w:r>
      <w:r>
        <w:rPr>
          <w:rFonts w:hint="eastAsia" w:ascii="仿宋_GB2312" w:eastAsia="仿宋_GB2312"/>
          <w:sz w:val="32"/>
          <w:szCs w:val="32"/>
        </w:rPr>
        <w:t>集实践教学、社会培训、真实生产和社会服务于一体、</w:t>
      </w:r>
      <w:r>
        <w:rPr>
          <w:rFonts w:ascii="仿宋_GB2312" w:eastAsia="仿宋_GB2312"/>
          <w:sz w:val="32"/>
          <w:szCs w:val="32"/>
        </w:rPr>
        <w:t>具有辐射引领作用的高水平专业化产教融合实训基地</w:t>
      </w:r>
      <w:r>
        <w:rPr>
          <w:rFonts w:hint="eastAsia" w:ascii="仿宋_GB2312" w:eastAsia="仿宋_GB2312"/>
          <w:sz w:val="32"/>
          <w:szCs w:val="32"/>
        </w:rPr>
        <w:t>，推动开放共享，提升重点专业（群）建设和校企合作育人水平，为在校学生和培训学员取得职业技能等级证书创造便利条件。</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构建</w:t>
      </w:r>
      <w:r>
        <w:rPr>
          <w:rFonts w:hint="eastAsia" w:ascii="仿宋_GB2312" w:eastAsia="仿宋_GB2312"/>
          <w:sz w:val="32"/>
          <w:szCs w:val="32"/>
        </w:rPr>
        <w:t>“</w:t>
      </w:r>
      <w:r>
        <w:rPr>
          <w:rFonts w:ascii="仿宋_GB2312" w:eastAsia="仿宋_GB2312"/>
          <w:sz w:val="32"/>
          <w:szCs w:val="32"/>
        </w:rPr>
        <w:t>双向互动</w:t>
      </w:r>
      <w:r>
        <w:rPr>
          <w:rFonts w:hint="eastAsia" w:ascii="仿宋_GB2312" w:eastAsia="仿宋_GB2312"/>
          <w:sz w:val="32"/>
          <w:szCs w:val="32"/>
        </w:rPr>
        <w:t>”</w:t>
      </w:r>
      <w:r>
        <w:rPr>
          <w:rFonts w:ascii="仿宋_GB2312" w:eastAsia="仿宋_GB2312"/>
          <w:sz w:val="32"/>
          <w:szCs w:val="32"/>
        </w:rPr>
        <w:t>合作机制。</w:t>
      </w:r>
      <w:r>
        <w:rPr>
          <w:rFonts w:hint="eastAsia" w:ascii="仿宋_GB2312" w:eastAsia="仿宋_GB2312"/>
          <w:sz w:val="32"/>
          <w:szCs w:val="32"/>
        </w:rPr>
        <w:t>在校企合作中积极寻求“双赢”，积极为合作企业</w:t>
      </w:r>
      <w:r>
        <w:rPr>
          <w:rFonts w:ascii="仿宋_GB2312" w:eastAsia="仿宋_GB2312"/>
          <w:sz w:val="32"/>
          <w:szCs w:val="32"/>
        </w:rPr>
        <w:t>提供场地</w:t>
      </w:r>
      <w:r>
        <w:rPr>
          <w:rFonts w:hint="eastAsia" w:ascii="仿宋_GB2312" w:eastAsia="仿宋_GB2312"/>
          <w:sz w:val="32"/>
          <w:szCs w:val="32"/>
        </w:rPr>
        <w:t>、</w:t>
      </w:r>
      <w:r>
        <w:rPr>
          <w:rFonts w:ascii="仿宋_GB2312" w:eastAsia="仿宋_GB2312"/>
          <w:sz w:val="32"/>
          <w:szCs w:val="32"/>
        </w:rPr>
        <w:t>培训以及人力资源，</w:t>
      </w:r>
      <w:r>
        <w:rPr>
          <w:rFonts w:hint="eastAsia" w:ascii="仿宋_GB2312" w:eastAsia="仿宋_GB2312"/>
          <w:sz w:val="32"/>
          <w:szCs w:val="32"/>
        </w:rPr>
        <w:t>为企业节约</w:t>
      </w:r>
      <w:r>
        <w:rPr>
          <w:rFonts w:ascii="仿宋_GB2312" w:eastAsia="仿宋_GB2312"/>
          <w:sz w:val="32"/>
          <w:szCs w:val="32"/>
        </w:rPr>
        <w:t>资</w:t>
      </w:r>
      <w:r>
        <w:rPr>
          <w:rFonts w:hint="eastAsia" w:ascii="仿宋_GB2312" w:eastAsia="仿宋_GB2312"/>
          <w:sz w:val="32"/>
          <w:szCs w:val="32"/>
        </w:rPr>
        <w:t>本</w:t>
      </w:r>
      <w:r>
        <w:rPr>
          <w:rFonts w:ascii="仿宋_GB2312" w:eastAsia="仿宋_GB2312"/>
          <w:sz w:val="32"/>
          <w:szCs w:val="32"/>
        </w:rPr>
        <w:t>投入、研发成本、</w:t>
      </w:r>
      <w:r>
        <w:rPr>
          <w:rFonts w:hint="eastAsia" w:ascii="仿宋_GB2312" w:eastAsia="仿宋_GB2312"/>
          <w:sz w:val="32"/>
          <w:szCs w:val="32"/>
        </w:rPr>
        <w:t>培</w:t>
      </w:r>
      <w:r>
        <w:rPr>
          <w:rFonts w:ascii="仿宋_GB2312" w:eastAsia="仿宋_GB2312"/>
          <w:sz w:val="32"/>
          <w:szCs w:val="32"/>
        </w:rPr>
        <w:t>训成本和管理成本，提高经济效益</w:t>
      </w:r>
      <w:r>
        <w:rPr>
          <w:rFonts w:hint="eastAsia" w:ascii="仿宋_GB2312" w:eastAsia="仿宋_GB2312"/>
          <w:sz w:val="32"/>
          <w:szCs w:val="32"/>
        </w:rPr>
        <w:t>；同时，利用企业提供的资本、技术、知识、设施、设备和管理等要素，在人才培养、技术创新、就业创业、社会服务、文化传承等方面，推动学院发展。</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共建教师培训和实践基地。建立健全学院教师到企业实践和“访问工程师”到学院进修制度。推动校企人才双向交流，在学院设置产业导师岗位，聘请企业高技能人才、工程管理人员、能工巧匠等一线技术人员到学院兼职任教；依托国有企业、大型民企建立</w:t>
      </w:r>
      <w:r>
        <w:rPr>
          <w:rFonts w:ascii="仿宋_GB2312" w:eastAsia="仿宋_GB2312"/>
          <w:sz w:val="32"/>
          <w:szCs w:val="32"/>
        </w:rPr>
        <w:t>5个示范性教师企业实践流动站</w:t>
      </w:r>
      <w:r>
        <w:rPr>
          <w:rFonts w:hint="eastAsia" w:ascii="仿宋_GB2312" w:eastAsia="仿宋_GB2312"/>
          <w:sz w:val="32"/>
          <w:szCs w:val="32"/>
        </w:rPr>
        <w:t>和</w:t>
      </w:r>
      <w:r>
        <w:rPr>
          <w:rFonts w:ascii="仿宋_GB2312" w:eastAsia="仿宋_GB2312"/>
          <w:sz w:val="32"/>
          <w:szCs w:val="32"/>
        </w:rPr>
        <w:t>5个示范性职工培训基地</w:t>
      </w:r>
      <w:r>
        <w:rPr>
          <w:rFonts w:hint="eastAsia" w:ascii="仿宋_GB2312" w:eastAsia="仿宋_GB2312"/>
          <w:sz w:val="32"/>
          <w:szCs w:val="32"/>
        </w:rPr>
        <w:t>。</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（4）切实发挥岭西</w:t>
      </w:r>
      <w:r>
        <w:rPr>
          <w:rFonts w:ascii="仿宋_GB2312" w:eastAsia="仿宋_GB2312"/>
          <w:sz w:val="32"/>
          <w:szCs w:val="32"/>
        </w:rPr>
        <w:t>职教集团</w:t>
      </w:r>
      <w:r>
        <w:rPr>
          <w:rFonts w:hint="eastAsia" w:ascii="仿宋_GB2312" w:eastAsia="仿宋_GB2312"/>
          <w:sz w:val="32"/>
          <w:szCs w:val="32"/>
        </w:rPr>
        <w:t>牵头单位</w:t>
      </w:r>
      <w:r>
        <w:rPr>
          <w:rFonts w:ascii="仿宋_GB2312" w:eastAsia="仿宋_GB2312"/>
          <w:sz w:val="32"/>
          <w:szCs w:val="32"/>
        </w:rPr>
        <w:t>职能作用。</w:t>
      </w:r>
      <w:r>
        <w:rPr>
          <w:rFonts w:hint="eastAsia" w:ascii="仿宋_GB2312" w:eastAsia="仿宋_GB2312"/>
          <w:sz w:val="32"/>
          <w:szCs w:val="32"/>
        </w:rPr>
        <w:t>深化</w:t>
      </w:r>
      <w:r>
        <w:rPr>
          <w:rFonts w:ascii="仿宋_GB2312" w:eastAsia="仿宋_GB2312"/>
          <w:sz w:val="32"/>
          <w:szCs w:val="32"/>
        </w:rPr>
        <w:t>校企深度合作，</w:t>
      </w:r>
      <w:r>
        <w:rPr>
          <w:rFonts w:hint="eastAsia" w:ascii="仿宋_GB2312" w:eastAsia="仿宋_GB2312"/>
          <w:sz w:val="32"/>
          <w:szCs w:val="32"/>
        </w:rPr>
        <w:t>全力</w:t>
      </w:r>
      <w:r>
        <w:rPr>
          <w:rFonts w:ascii="仿宋_GB2312" w:eastAsia="仿宋_GB2312"/>
          <w:sz w:val="32"/>
          <w:szCs w:val="32"/>
        </w:rPr>
        <w:t>构建</w:t>
      </w:r>
      <w:r>
        <w:rPr>
          <w:rFonts w:hint="eastAsia" w:ascii="仿宋_GB2312" w:eastAsia="仿宋_GB2312"/>
          <w:sz w:val="32"/>
          <w:szCs w:val="32"/>
        </w:rPr>
        <w:t>“</w:t>
      </w:r>
      <w:r>
        <w:rPr>
          <w:rFonts w:ascii="仿宋_GB2312" w:eastAsia="仿宋_GB2312"/>
          <w:sz w:val="32"/>
          <w:szCs w:val="32"/>
        </w:rPr>
        <w:t>政府搭台、校企</w:t>
      </w:r>
      <w:r>
        <w:rPr>
          <w:rFonts w:hint="eastAsia" w:ascii="仿宋_GB2312" w:eastAsia="仿宋_GB2312"/>
          <w:sz w:val="32"/>
          <w:szCs w:val="32"/>
        </w:rPr>
        <w:t>唱戏”的交流平台。推动集团实体化运行，完善相关机构设置，定期召开岭西职教集团理事会议、全体会议等，明确发展方向，确定发展目标，落实发展举措，推动构建各成员共建共享共赢的命运共同体。</w:t>
      </w:r>
      <w:r>
        <w:rPr>
          <w:rFonts w:ascii="仿宋_GB2312" w:eastAsia="仿宋_GB2312"/>
          <w:sz w:val="32"/>
          <w:szCs w:val="32"/>
        </w:rPr>
        <w:t>充分利用</w:t>
      </w:r>
      <w:r>
        <w:rPr>
          <w:rFonts w:hint="eastAsia" w:ascii="仿宋_GB2312" w:eastAsia="仿宋_GB2312"/>
          <w:sz w:val="32"/>
          <w:szCs w:val="32"/>
        </w:rPr>
        <w:t>集团资源，实行企业化运营管理，明确产权制度和利益分配机制，面向集团内外提供实习实训和技能培训服务，将校企合作成果转化为经济效益，最大限度地激发企业积极性，力争把岭西职教集团打造成国家</w:t>
      </w:r>
      <w:r>
        <w:rPr>
          <w:rFonts w:ascii="仿宋_GB2312" w:eastAsia="仿宋_GB2312"/>
          <w:sz w:val="32"/>
          <w:szCs w:val="32"/>
        </w:rPr>
        <w:t>示范性职教集团</w:t>
      </w:r>
      <w:r>
        <w:rPr>
          <w:rFonts w:hint="eastAsia" w:ascii="仿宋_GB2312" w:eastAsia="仿宋_GB2312"/>
          <w:sz w:val="32"/>
          <w:szCs w:val="32"/>
        </w:rPr>
        <w:t>。</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（5）构建</w:t>
      </w:r>
      <w:r>
        <w:rPr>
          <w:rFonts w:ascii="仿宋_GB2312" w:eastAsia="仿宋_GB2312"/>
          <w:sz w:val="32"/>
          <w:szCs w:val="32"/>
        </w:rPr>
        <w:t>产学研协同创新平台。</w:t>
      </w:r>
      <w:r>
        <w:rPr>
          <w:rFonts w:hint="eastAsia" w:ascii="仿宋_GB2312" w:eastAsia="仿宋_GB2312"/>
          <w:sz w:val="32"/>
          <w:szCs w:val="32"/>
        </w:rPr>
        <w:t>加强与</w:t>
      </w:r>
      <w:r>
        <w:rPr>
          <w:rFonts w:ascii="仿宋_GB2312" w:eastAsia="仿宋_GB2312"/>
          <w:sz w:val="32"/>
          <w:szCs w:val="32"/>
        </w:rPr>
        <w:t>行业企业</w:t>
      </w:r>
      <w:r>
        <w:rPr>
          <w:rFonts w:hint="eastAsia" w:ascii="仿宋_GB2312" w:eastAsia="仿宋_GB2312"/>
          <w:sz w:val="32"/>
          <w:szCs w:val="32"/>
        </w:rPr>
        <w:t>和</w:t>
      </w:r>
      <w:r>
        <w:rPr>
          <w:rFonts w:ascii="仿宋_GB2312" w:eastAsia="仿宋_GB2312"/>
          <w:sz w:val="32"/>
          <w:szCs w:val="32"/>
        </w:rPr>
        <w:t>科研机构</w:t>
      </w:r>
      <w:r>
        <w:rPr>
          <w:rFonts w:hint="eastAsia" w:ascii="仿宋_GB2312" w:eastAsia="仿宋_GB2312"/>
          <w:sz w:val="32"/>
          <w:szCs w:val="32"/>
        </w:rPr>
        <w:t>的合作</w:t>
      </w:r>
      <w:r>
        <w:rPr>
          <w:rFonts w:ascii="仿宋_GB2312" w:eastAsia="仿宋_GB2312"/>
          <w:sz w:val="32"/>
          <w:szCs w:val="32"/>
        </w:rPr>
        <w:t>，</w:t>
      </w:r>
      <w:r>
        <w:rPr>
          <w:rFonts w:hint="eastAsia" w:ascii="仿宋_GB2312" w:eastAsia="仿宋_GB2312"/>
          <w:sz w:val="32"/>
          <w:szCs w:val="32"/>
        </w:rPr>
        <w:t>鼓励各专业</w:t>
      </w:r>
      <w:r>
        <w:rPr>
          <w:rFonts w:ascii="仿宋_GB2312" w:eastAsia="仿宋_GB2312"/>
          <w:sz w:val="32"/>
          <w:szCs w:val="32"/>
        </w:rPr>
        <w:t>围绕产业关键技术、核心工艺和共性问题开展协同创新，打</w:t>
      </w:r>
      <w:r>
        <w:rPr>
          <w:rFonts w:hint="eastAsia" w:ascii="仿宋_GB2312" w:eastAsia="仿宋_GB2312"/>
          <w:sz w:val="32"/>
          <w:szCs w:val="32"/>
        </w:rPr>
        <w:t>造</w:t>
      </w:r>
      <w:r>
        <w:rPr>
          <w:rFonts w:ascii="仿宋_GB2312" w:eastAsia="仿宋_GB2312"/>
          <w:sz w:val="32"/>
          <w:szCs w:val="32"/>
        </w:rPr>
        <w:t>产学研用深度融合的科技创新体系</w:t>
      </w:r>
      <w:r>
        <w:rPr>
          <w:rFonts w:hint="eastAsia" w:ascii="仿宋_GB2312" w:eastAsia="仿宋_GB2312"/>
          <w:sz w:val="32"/>
          <w:szCs w:val="32"/>
        </w:rPr>
        <w:t>。推进学院与企业共建产业技术实验室、中试和产业化基地。</w:t>
      </w:r>
      <w:r>
        <w:rPr>
          <w:rFonts w:ascii="仿宋_GB2312" w:eastAsia="仿宋_GB2312"/>
          <w:sz w:val="32"/>
          <w:szCs w:val="32"/>
        </w:rPr>
        <w:t>打通基础研究、应用开发、成果转化和产业化链条</w:t>
      </w:r>
      <w:r>
        <w:rPr>
          <w:rFonts w:hint="eastAsia" w:ascii="仿宋_GB2312" w:eastAsia="仿宋_GB2312"/>
          <w:sz w:val="32"/>
          <w:szCs w:val="32"/>
        </w:rPr>
        <w:t>。</w:t>
      </w:r>
    </w:p>
    <w:p>
      <w:pPr>
        <w:widowControl/>
        <w:spacing w:line="560" w:lineRule="exact"/>
        <w:ind w:firstLine="640" w:firstLineChars="200"/>
        <w:rPr>
          <w:rFonts w:ascii="楷体_GB2312" w:eastAsia="楷体_GB2312"/>
          <w:sz w:val="32"/>
          <w:szCs w:val="32"/>
        </w:rPr>
      </w:pPr>
      <w:r>
        <w:rPr>
          <w:rFonts w:hint="eastAsia" w:ascii="楷体_GB2312" w:eastAsia="楷体_GB2312"/>
          <w:sz w:val="32"/>
          <w:szCs w:val="32"/>
        </w:rPr>
        <w:t>（六）实施开放办学、终身教育工程</w:t>
      </w:r>
    </w:p>
    <w:p>
      <w:pPr>
        <w:spacing w:line="560" w:lineRule="exact"/>
        <w:ind w:firstLine="643" w:firstLineChars="200"/>
        <w:rPr>
          <w:rFonts w:ascii="仿宋_GB2312" w:eastAsia="仿宋_GB2312"/>
          <w:b/>
          <w:bCs/>
          <w:sz w:val="32"/>
          <w:szCs w:val="32"/>
        </w:rPr>
      </w:pPr>
      <w:bookmarkStart w:id="14" w:name="_Toc68598880"/>
      <w:r>
        <w:rPr>
          <w:rFonts w:hint="eastAsia" w:ascii="仿宋_GB2312" w:eastAsia="仿宋_GB2312"/>
          <w:b/>
          <w:bCs/>
          <w:sz w:val="32"/>
          <w:szCs w:val="32"/>
        </w:rPr>
        <w:t>1.项目简介</w:t>
      </w:r>
      <w:bookmarkEnd w:id="14"/>
    </w:p>
    <w:p>
      <w:pPr>
        <w:spacing w:line="560" w:lineRule="exact"/>
        <w:ind w:firstLine="640" w:firstLineChars="200"/>
        <w:rPr>
          <w:rFonts w:ascii="仿宋_GB2312" w:eastAsia="仿宋_GB2312"/>
          <w:sz w:val="32"/>
          <w:szCs w:val="32"/>
        </w:rPr>
      </w:pPr>
      <w:r>
        <w:rPr>
          <w:rFonts w:hint="eastAsia" w:ascii="仿宋_GB2312" w:eastAsia="仿宋_GB2312"/>
          <w:sz w:val="32"/>
          <w:szCs w:val="32"/>
        </w:rPr>
        <w:t>围绕呼伦贝尔“两区三地一家园”的目标定位，坚持生态保护优先、走好绿色发展之路，以开放式培训基地为支撑，以教学资源共享为保障，满足经济和社会发展对技能型人才的强劲需求，优化职业技能培训和等级认定服务，助力全民终身教育体系的构建。</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2.政策依据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（1）《职业教育提质培优行动计划（2020—2023年）》第8项任务“落实职业学校并举实施学历教育与培训的法定职责，按照育训结合、长短结合、内外结合的要求，面向在校学生和全体社会成员开展职业培训。”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（2）《关于实施高技能人才建设基地建设项目和技能大师工作室建设项目的通知》(内人社发〔2018〕21号）明确，学院获批自治区级高技能人才培训基地，项目资金100万元。</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3.建设目标与内容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构建全院“一盘棋”大培训格局。建立以继续教育学院为主、教学系为辅、部门配合的大培训格局，科学制定培训目标，实施目标化管理，把培训目标完成情况纳入各系和部门的年终考核指标体系，建立多劳多得、优绩优酬的分配机制，充分激发职业培训的积极性，保证年均职业培训人次达到在校生规模的2倍以上。</w:t>
      </w:r>
      <w:r>
        <w:rPr>
          <w:rFonts w:hint="eastAsia" w:ascii="仿宋_GB2312" w:eastAsia="仿宋_GB2312"/>
          <w:sz w:val="32"/>
          <w:szCs w:val="32"/>
        </w:rPr>
        <w:tab/>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建设呼伦贝尔市职业院校示范性继续教育基地。以现有自治区级高技能人才培训建设项目基地为依托，打造呼伦贝尔地区规模最大、技能等级最高，集企业职工岗位培训与技能提升、社会从业人员就业培训及职业技能等级认定、职业院校师资培训交流于一体的高水平示范性继续教育基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建设重点专业特殊工种培训基地。以内河船员实训基地建设为重点，努力达到三类内河船员培训基本条件。建设呼伦贝尔特殊工种（电工）作业培训站，建成呼伦贝尔特种作业考试站，满足校内外实习实训、职业技能培训和等级认定需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（4）建设呼伦贝尔高技能人才培训与等级认定基地。用好用足学院培训与认定软硬件资源，满足校内外需求，服务学生、服务社会。建设10门以上优质继续教育网络课程，促进职业培训、认定工作。</w:t>
      </w:r>
      <w:r>
        <w:rPr>
          <w:rFonts w:hint="eastAsia" w:ascii="仿宋_GB2312" w:eastAsia="仿宋_GB2312"/>
          <w:sz w:val="32"/>
          <w:szCs w:val="32"/>
        </w:rPr>
        <w:tab/>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建设优质社区教育示范基地。积极构建“立足中心城区、辐射呼伦贝尔”的社区教育工作格局，加强宣传教育和舆论引导，营造社区教育浓厚氛围。面向全市所有社区和嘎查村，优化职业教育资源供给（各系部建设长短期课程），以提升社区和嘎查村居民能力素质和生活质量为目标，开展文化艺术、市民文明、老年人陪护、婴幼儿成长、失业人员和失地农民再就业等培训，将社区教育真正融入到居民的日常生活中，推动完善以社区为基本单位的全民终身教育体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建设示范性老年大学。发挥学院资源优势，积极参与全市各级老年大学建设，服务老年人技术提升，丰富老年人文化生活，提升老年人生活品质，进一步盘活老年群体的人力资源，为学习型社会的建构提供重要助力。建设老年开放大学和网上老年大学，探索线上线下融合发展的老年教育新模式。</w:t>
      </w:r>
    </w:p>
    <w:p>
      <w:pPr>
        <w:widowControl/>
        <w:spacing w:line="560" w:lineRule="exact"/>
        <w:ind w:firstLine="640" w:firstLineChars="200"/>
        <w:rPr>
          <w:rFonts w:ascii="楷体_GB2312" w:eastAsia="楷体_GB2312"/>
          <w:sz w:val="32"/>
          <w:szCs w:val="32"/>
        </w:rPr>
      </w:pPr>
      <w:r>
        <w:rPr>
          <w:rFonts w:hint="eastAsia" w:ascii="楷体_GB2312" w:eastAsia="楷体_GB2312"/>
          <w:sz w:val="32"/>
          <w:szCs w:val="32"/>
        </w:rPr>
        <w:t>（七）实施“双师”导向、业务拔高工程</w:t>
      </w:r>
    </w:p>
    <w:p>
      <w:pPr>
        <w:widowControl/>
        <w:spacing w:line="560" w:lineRule="exact"/>
        <w:ind w:firstLine="643" w:firstLineChars="200"/>
        <w:rPr>
          <w:rStyle w:val="26"/>
          <w:rFonts w:ascii="仿宋_GB2312" w:eastAsia="仿宋_GB2312"/>
          <w:sz w:val="32"/>
          <w:szCs w:val="32"/>
        </w:rPr>
      </w:pPr>
      <w:bookmarkStart w:id="15" w:name="_Toc68598872"/>
      <w:r>
        <w:rPr>
          <w:rStyle w:val="26"/>
          <w:rFonts w:hint="eastAsia" w:ascii="仿宋_GB2312" w:eastAsia="仿宋_GB2312"/>
          <w:sz w:val="32"/>
          <w:szCs w:val="32"/>
        </w:rPr>
        <w:t>1.项目简介</w:t>
      </w:r>
      <w:bookmarkEnd w:id="15"/>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以建设高素质“双师型”教师队伍为导向，加强教师培训，全面提升教师队伍整体素质；加强教学团队建设，实施名师工程，分年度、分批次、分专业鼓励特殊技能教师组建双师结构与双师素质兼顾的专业教学团队，形成教师团队品牌效应。通过实施“双师”能力提升工程，分级打造师德高尚、技艺精湛、育人水平高超的教学名师、专业带头人、青年骨干教师等高层次人才队伍。</w:t>
      </w:r>
    </w:p>
    <w:p>
      <w:pPr>
        <w:widowControl/>
        <w:spacing w:line="560" w:lineRule="exact"/>
        <w:ind w:firstLine="643" w:firstLineChars="200"/>
        <w:rPr>
          <w:rStyle w:val="26"/>
          <w:rFonts w:ascii="仿宋_GB2312" w:eastAsia="仿宋_GB2312"/>
          <w:sz w:val="32"/>
          <w:szCs w:val="32"/>
        </w:rPr>
      </w:pPr>
      <w:bookmarkStart w:id="16" w:name="_Toc68598873"/>
      <w:r>
        <w:rPr>
          <w:rStyle w:val="26"/>
          <w:rFonts w:hint="eastAsia" w:ascii="仿宋_GB2312" w:eastAsia="仿宋_GB2312"/>
          <w:sz w:val="32"/>
          <w:szCs w:val="32"/>
        </w:rPr>
        <w:t>2.政策依据</w:t>
      </w:r>
      <w:bookmarkEnd w:id="16"/>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（1）《中共中央国务院关于全面深化新时代教师队伍建设改革的意见》和《国家职业教育改革实施方案》，提出深化职业院校教师队伍建设改革，培养造就高素质“双师型”教师队伍建设改革意见。</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（2）中共中央、国务院印发《关于全面深化新时代教师队伍建设改革的实施意见》，强调“全面提高高等学校教师质量，建设一支高素质创新型的教师队伍。”</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3）教育部、国家发展改革委、财政部、人力资源社会保障部联合印发《深化新时代职业教育“双师型”教师队伍建设改革实施方案》，提出总体目标：建立具有鲜明特色的“双师型”教师资格准入、聘用考核制度，教师职业发展通道畅通，待遇和保障机制更加完善，职业教育教师吸引力明显增强，基本建成一支师德高尚、技艺精湛、专兼结合、充满活力的高素质“双师型”教师队伍。</w:t>
      </w:r>
    </w:p>
    <w:p>
      <w:pPr>
        <w:widowControl/>
        <w:spacing w:line="560" w:lineRule="exact"/>
        <w:ind w:firstLine="643" w:firstLineChars="200"/>
        <w:rPr>
          <w:rStyle w:val="26"/>
          <w:rFonts w:ascii="仿宋_GB2312" w:eastAsia="仿宋_GB2312"/>
          <w:sz w:val="32"/>
          <w:szCs w:val="32"/>
        </w:rPr>
      </w:pPr>
      <w:bookmarkStart w:id="17" w:name="_Toc68598874"/>
      <w:r>
        <w:rPr>
          <w:rStyle w:val="26"/>
          <w:rFonts w:hint="eastAsia" w:ascii="仿宋_GB2312" w:eastAsia="仿宋_GB2312"/>
          <w:sz w:val="32"/>
          <w:szCs w:val="32"/>
        </w:rPr>
        <w:t>3.建设目标与内容</w:t>
      </w:r>
      <w:bookmarkEnd w:id="17"/>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1）建设高素质教师队伍。实施教师素质提升计划，加强新入职教师岗前培训，推进青年骨干教师梯队建设，帮助青年教师快速成长。每年开展院级名师评选，实行动态管理，每年至少培养10名院级青年技能名师、10名院级专业骨干带头人、1—2名自治区级教学名师和1个自治区级优秀教学团队；每个教学系至少建成1个名师工作室或大师工作室。“十四五”收官时，实现院级优秀教学团队10个、自治区级优秀教学团队5个；院级创新教学团队10个，国家级创新教学团队2个；培育院级思想政治课教学创新团队2个，建立学院“名师工作室”10个。选派骨干教师参加国家级、自治区级、市级业务培训和研修访学，在学习借鉴和沟通交流中达到增长见识、取长补短的目的；鼓励青年教师参与教学团队、创新团队建设，引领带动青年教师创新教学方法，形成教学特色，帮助其迅速成长为学院、自治区乃至全国的教学名师。</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加强“双师型”名师队伍建设。健全校企联合培养“双师型”教师机制，校企共建“双师型”教师培养培训基地和教师企业实践基地，建立示范性教师企业实践流动站5个，每个专业每年至少安排1—2名专业课教师通过跟岗访学、顶岗实践等方式提升专业能力，确保完成专业课教师每5年到企业实践不少于6个月的要求。落实校企人员双向流动渠道，结合推进1+X证书制度试点工作，辐射带动各专业“双师型”教师队伍建设，保证“双师型”教师和教学团队数量充足，“十四五”收官时，“双师型”教师占专业课教师的比例超过80%；鼓励教学系面向企业聘请具备技师及以上资格的优秀人才到学院担任专业课或实习实训课教师。</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3）加强教师队伍的规范化管理。严格教师队伍准入制度，严格执行职业院校教师资格标准,按照相关规定将行业企业从业经历作为取得专业课教师资格的必要条件。推动固定岗和流动岗相结合的职业院校教师人事管理制度改革,引进具有创新实践经验的企业家、高科技人才、高技能人才、能工巧匠等兼职任教，建立适应高水平专业（群）发展需求的兼职教师资源库。建立健全师德师风建设制度机制，增强底线意识，规范教师言行，防止发生师德失范行为。下沉教师队伍管理重心，推行由二级部门负责的绩效管理，激发工作积极性，提升工作效能。推进教师职称制度改革，建立高校教师职称评聘监督管理制度，接受自治区教育厅和市人社局对职称评聘的事中事后监管。完善专业教师考核评价制度和“双师型”教师认定制度，使教师考核评价充分体现技能水平和专业教学能力，在职称评聘、教学成果奖和教学名师等评选表彰中，向“双师型”教师倾斜，激发内生动力和工作热情。</w:t>
      </w:r>
    </w:p>
    <w:p>
      <w:pPr>
        <w:widowControl/>
        <w:spacing w:line="560" w:lineRule="exact"/>
        <w:ind w:firstLine="640" w:firstLineChars="200"/>
        <w:rPr>
          <w:rFonts w:ascii="仿宋_GB2312" w:eastAsia="仿宋_GB2312"/>
          <w:sz w:val="32"/>
          <w:szCs w:val="32"/>
        </w:rPr>
      </w:pPr>
      <w:r>
        <w:rPr>
          <w:rFonts w:hint="eastAsia" w:ascii="楷体_GB2312" w:eastAsia="楷体_GB2312"/>
          <w:sz w:val="32"/>
          <w:szCs w:val="32"/>
        </w:rPr>
        <w:t>（八）实施科技赋能、智能强校工程</w:t>
      </w:r>
    </w:p>
    <w:p>
      <w:pPr>
        <w:widowControl/>
        <w:spacing w:line="560" w:lineRule="exact"/>
        <w:ind w:firstLine="643" w:firstLineChars="200"/>
        <w:rPr>
          <w:rFonts w:ascii="仿宋_GB2312" w:eastAsia="仿宋_GB2312"/>
          <w:b/>
          <w:sz w:val="32"/>
          <w:szCs w:val="32"/>
        </w:rPr>
      </w:pPr>
      <w:r>
        <w:rPr>
          <w:rFonts w:hint="eastAsia" w:ascii="仿宋_GB2312" w:eastAsia="仿宋_GB2312"/>
          <w:b/>
          <w:sz w:val="32"/>
          <w:szCs w:val="32"/>
        </w:rPr>
        <w:t>1.项目简介</w:t>
      </w:r>
    </w:p>
    <w:p>
      <w:pPr>
        <w:widowControl/>
        <w:spacing w:line="560" w:lineRule="exact"/>
        <w:ind w:firstLine="640" w:firstLineChars="200"/>
        <w:rPr>
          <w:rFonts w:ascii="仿宋_GB2312" w:eastAsia="仿宋_GB2312"/>
          <w:sz w:val="32"/>
          <w:szCs w:val="32"/>
        </w:rPr>
      </w:pPr>
      <w:r>
        <w:rPr>
          <w:rFonts w:ascii="仿宋_GB2312" w:eastAsia="仿宋_GB2312"/>
          <w:sz w:val="32"/>
          <w:szCs w:val="32"/>
        </w:rPr>
        <w:t>以教育理念创新为先导，以网络基础设施和基础服务平台建设为支撑，以信息技术与教育教学的深度融合为核心，以队伍建设、管理体制和政策措施为保障，立足</w:t>
      </w:r>
      <w:r>
        <w:rPr>
          <w:rFonts w:hint="eastAsia" w:ascii="仿宋_GB2312" w:eastAsia="仿宋_GB2312"/>
          <w:sz w:val="32"/>
          <w:szCs w:val="32"/>
        </w:rPr>
        <w:t>实际</w:t>
      </w:r>
      <w:r>
        <w:rPr>
          <w:rFonts w:ascii="仿宋_GB2312" w:eastAsia="仿宋_GB2312"/>
          <w:sz w:val="32"/>
          <w:szCs w:val="32"/>
        </w:rPr>
        <w:t>、科学规划、有序实施，构建需求驱动、深化应用、深度融合、共建共享的智慧校园信息管理服务体系，</w:t>
      </w:r>
      <w:r>
        <w:rPr>
          <w:rFonts w:hint="eastAsia" w:ascii="仿宋_GB2312" w:eastAsia="仿宋_GB2312"/>
          <w:sz w:val="32"/>
          <w:szCs w:val="32"/>
        </w:rPr>
        <w:t>满足</w:t>
      </w:r>
      <w:r>
        <w:rPr>
          <w:rFonts w:ascii="仿宋_GB2312" w:eastAsia="仿宋_GB2312"/>
          <w:sz w:val="32"/>
          <w:szCs w:val="32"/>
        </w:rPr>
        <w:t>师生</w:t>
      </w:r>
      <w:r>
        <w:rPr>
          <w:rFonts w:hint="eastAsia" w:ascii="仿宋_GB2312" w:eastAsia="仿宋_GB2312"/>
          <w:sz w:val="32"/>
          <w:szCs w:val="32"/>
        </w:rPr>
        <w:t>工作、学习、生活现实</w:t>
      </w:r>
      <w:r>
        <w:rPr>
          <w:rFonts w:ascii="仿宋_GB2312" w:eastAsia="仿宋_GB2312"/>
          <w:sz w:val="32"/>
          <w:szCs w:val="32"/>
        </w:rPr>
        <w:t>需求，服务学院事业的全面发展。</w:t>
      </w:r>
    </w:p>
    <w:p>
      <w:pPr>
        <w:widowControl/>
        <w:spacing w:line="560" w:lineRule="exact"/>
        <w:ind w:firstLine="643" w:firstLineChars="200"/>
        <w:rPr>
          <w:rFonts w:ascii="仿宋_GB2312" w:eastAsia="仿宋_GB2312"/>
          <w:b/>
          <w:sz w:val="32"/>
          <w:szCs w:val="32"/>
        </w:rPr>
      </w:pPr>
      <w:r>
        <w:rPr>
          <w:rFonts w:hint="eastAsia" w:ascii="仿宋_GB2312" w:eastAsia="仿宋_GB2312"/>
          <w:b/>
          <w:sz w:val="32"/>
          <w:szCs w:val="32"/>
        </w:rPr>
        <w:t>2.政策依据</w:t>
      </w:r>
    </w:p>
    <w:p>
      <w:pPr>
        <w:widowControl/>
        <w:spacing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1</w:t>
      </w:r>
      <w:r>
        <w:rPr>
          <w:rFonts w:ascii="仿宋_GB2312" w:eastAsia="仿宋_GB2312"/>
          <w:sz w:val="32"/>
          <w:szCs w:val="32"/>
        </w:rPr>
        <w:t>）《中国教育现代化2035》第</w:t>
      </w:r>
      <w:r>
        <w:rPr>
          <w:rFonts w:hint="eastAsia" w:ascii="仿宋_GB2312" w:eastAsia="仿宋_GB2312"/>
          <w:sz w:val="32"/>
          <w:szCs w:val="32"/>
        </w:rPr>
        <w:t>八大战略任务明确，“加快信息化时代教育变革。建设智能化校园，统筹建设一体化智能化教学、管理与服务平台。”</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（2）《教育信息化</w:t>
      </w:r>
      <w:r>
        <w:rPr>
          <w:rFonts w:ascii="仿宋_GB2312" w:eastAsia="仿宋_GB2312"/>
          <w:sz w:val="32"/>
          <w:szCs w:val="32"/>
        </w:rPr>
        <w:t>2.0行动计划》的基本目标明确，</w:t>
      </w:r>
      <w:r>
        <w:rPr>
          <w:rFonts w:hint="eastAsia" w:ascii="仿宋_GB2312" w:eastAsia="仿宋_GB2312"/>
          <w:sz w:val="32"/>
          <w:szCs w:val="32"/>
        </w:rPr>
        <w:t>努力构建“互联网+”条件下的人才培养新模式、发展基于互联网的教育服务新模式、探索信息时代教育治理新模式。</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《职业院校数字校园规范》明确提出的</w:t>
      </w:r>
      <w:r>
        <w:rPr>
          <w:rFonts w:hint="eastAsia" w:ascii="仿宋_GB2312" w:hAnsi="Calibri" w:eastAsia="仿宋_GB2312" w:cs="Times New Roman"/>
          <w:sz w:val="32"/>
          <w:szCs w:val="32"/>
        </w:rPr>
        <w:t>总体目标</w:t>
      </w:r>
      <w:r>
        <w:rPr>
          <w:rFonts w:hint="eastAsia" w:ascii="仿宋_GB2312" w:eastAsia="仿宋_GB2312"/>
          <w:sz w:val="32"/>
          <w:szCs w:val="32"/>
        </w:rPr>
        <w:t>是：</w:t>
      </w:r>
      <w:r>
        <w:rPr>
          <w:rFonts w:hint="eastAsia" w:ascii="仿宋_GB2312" w:hAnsi="Calibri" w:eastAsia="仿宋_GB2312" w:cs="Times New Roman"/>
          <w:sz w:val="32"/>
          <w:szCs w:val="32"/>
        </w:rPr>
        <w:t>充分发挥信息技术的优势，促进信息技术与职业教育教学的深度融合，发展院校师生员工的信息技术职业素养，创新教育教学模式，提高教学质量，再造管理与服务流程，增强学校的治理能力，提升校园文化生活品质，拓展对外服务的范围，引领学校现代化发展，为职业院校培养高素质劳动者和技术技能人才提供信息化支撑和保障。</w:t>
      </w:r>
    </w:p>
    <w:p>
      <w:pPr>
        <w:widowControl/>
        <w:spacing w:line="560" w:lineRule="exact"/>
        <w:ind w:firstLine="643" w:firstLineChars="200"/>
        <w:rPr>
          <w:rFonts w:ascii="仿宋_GB2312" w:eastAsia="仿宋_GB2312"/>
          <w:b/>
          <w:sz w:val="32"/>
          <w:szCs w:val="32"/>
        </w:rPr>
      </w:pPr>
      <w:r>
        <w:rPr>
          <w:rFonts w:hint="eastAsia" w:ascii="仿宋_GB2312" w:eastAsia="仿宋_GB2312"/>
          <w:b/>
          <w:sz w:val="32"/>
          <w:szCs w:val="32"/>
        </w:rPr>
        <w:t>3.建设目标与内容</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1）深化数字校园建设。依托内部质量诊断平台系统的建设，持续推进数字校园各业务系统的流程优化和再造，推动数据治理工作，提高信息系统的数据质量，保障数据安全，实现数据全面共享，解决数据使用难题，为学院的管理和决策提供有效支撑。建立以“为师生服务解难题”为宗旨的网上服务大厅，进一步优化师生办事环境，提升办事效率。</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搭建智能感知物联网络。依托南校区建设，升级扩建一张高速、可靠、支持多业务的校园有线网络，打造覆盖办公、教学、公共区域，先进、高速、可控、安全的校园无线网络。构建集校园监控、一卡通、智能节能监管、教室管理、考勤、门禁、梯控、水电控、校园广播等多项业务于一体的智能感知物联网络。</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（3）加大服务教学实训力度。通过虚拟仿真、智慧教室、线上教学资源等内容建设，强化信息技术与教学过程的深度融合。建立教学决策支持系统，实现教学质量评价实时动态管理。</w:t>
      </w:r>
      <w:r>
        <w:rPr>
          <w:rFonts w:hint="eastAsia" w:ascii="仿宋_GB2312" w:hAnsi="Calibri" w:eastAsia="仿宋_GB2312" w:cs="Times New Roman"/>
          <w:sz w:val="32"/>
          <w:szCs w:val="32"/>
        </w:rPr>
        <w:t>构建信息技术支持下的教学空间、工作场所和虚拟场景及其相互融合的环境，支持专业知识、职业技能和信息素养“三位一体”的高素质技术技能型人才培养。</w:t>
      </w:r>
    </w:p>
    <w:p>
      <w:pPr>
        <w:widowControl/>
        <w:spacing w:line="560" w:lineRule="exact"/>
        <w:ind w:firstLine="640" w:firstLineChars="200"/>
        <w:rPr>
          <w:rFonts w:ascii="仿宋_GB2312" w:eastAsia="仿宋_GB2312"/>
          <w:color w:val="FF0000"/>
          <w:sz w:val="32"/>
          <w:szCs w:val="32"/>
        </w:rPr>
      </w:pPr>
      <w:r>
        <w:rPr>
          <w:rFonts w:hint="eastAsia" w:ascii="仿宋_GB2312" w:eastAsia="仿宋_GB2312"/>
          <w:sz w:val="32"/>
          <w:szCs w:val="32"/>
        </w:rPr>
        <w:t>（4）完善网络信息安全体系建设。加强校园网络整体安全态势感知能力及管控能力建设，提高学院整体网络信息安全防护能力。</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（九）实施扩容提质、硬件升级工程</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1.项目简介</w:t>
      </w:r>
    </w:p>
    <w:p>
      <w:pPr>
        <w:spacing w:line="560" w:lineRule="exact"/>
        <w:ind w:firstLine="640" w:firstLineChars="200"/>
        <w:rPr>
          <w:rFonts w:ascii="仿宋_GB2312" w:hAnsi="仿宋" w:eastAsia="仿宋_GB2312" w:cstheme="minorEastAsia"/>
          <w:sz w:val="32"/>
          <w:szCs w:val="32"/>
        </w:rPr>
      </w:pPr>
      <w:r>
        <w:rPr>
          <w:rFonts w:hint="eastAsia" w:ascii="仿宋_GB2312" w:hAnsi="仿宋" w:eastAsia="仿宋_GB2312" w:cstheme="minorEastAsia"/>
          <w:sz w:val="32"/>
          <w:szCs w:val="32"/>
          <w:highlight w:val="none"/>
        </w:rPr>
        <w:t>以建设优质校园环境和营造优质文化氛围为目标，全面改善学院办学条件（包括教学、实训及生活基础设施）和校园环境，加大</w:t>
      </w:r>
      <w:r>
        <w:rPr>
          <w:rFonts w:hint="eastAsia" w:ascii="仿宋_GB2312" w:hAnsi="仿宋" w:eastAsia="仿宋_GB2312" w:cstheme="minorEastAsia"/>
          <w:sz w:val="32"/>
          <w:szCs w:val="32"/>
          <w:highlight w:val="none"/>
          <w:lang w:eastAsia="zh-CN"/>
        </w:rPr>
        <w:t>基础</w:t>
      </w:r>
      <w:r>
        <w:rPr>
          <w:rFonts w:hint="eastAsia" w:ascii="仿宋_GB2312" w:hAnsi="仿宋" w:eastAsia="仿宋_GB2312" w:cstheme="minorEastAsia"/>
          <w:sz w:val="32"/>
          <w:szCs w:val="32"/>
          <w:highlight w:val="none"/>
        </w:rPr>
        <w:t>建设投入，满足师生在教学、科研、文化、生活质量等方面不断提高的需要，建成使用功能合理明确、各项服务设施完善、总体环境优</w:t>
      </w:r>
      <w:r>
        <w:rPr>
          <w:rFonts w:hint="eastAsia" w:ascii="仿宋_GB2312" w:hAnsi="仿宋" w:eastAsia="仿宋_GB2312" w:cstheme="minorEastAsia"/>
          <w:sz w:val="32"/>
          <w:szCs w:val="32"/>
          <w:highlight w:val="none"/>
          <w:lang w:eastAsia="zh-CN"/>
        </w:rPr>
        <w:t>美</w:t>
      </w:r>
      <w:r>
        <w:rPr>
          <w:rFonts w:hint="eastAsia" w:ascii="仿宋_GB2312" w:hAnsi="仿宋" w:eastAsia="仿宋_GB2312" w:cstheme="minorEastAsia"/>
          <w:sz w:val="32"/>
          <w:szCs w:val="32"/>
          <w:highlight w:val="none"/>
        </w:rPr>
        <w:t>舒适</w:t>
      </w:r>
      <w:r>
        <w:rPr>
          <w:rFonts w:hint="eastAsia" w:ascii="仿宋_GB2312" w:hAnsi="仿宋" w:eastAsia="仿宋_GB2312" w:cstheme="minorEastAsia"/>
          <w:sz w:val="32"/>
          <w:szCs w:val="32"/>
          <w:highlight w:val="none"/>
          <w:lang w:eastAsia="zh-CN"/>
        </w:rPr>
        <w:t>的现代化</w:t>
      </w:r>
      <w:r>
        <w:rPr>
          <w:rFonts w:hint="eastAsia" w:ascii="仿宋_GB2312" w:hAnsi="仿宋" w:eastAsia="仿宋_GB2312" w:cstheme="minorEastAsia"/>
          <w:sz w:val="32"/>
          <w:szCs w:val="32"/>
          <w:highlight w:val="none"/>
        </w:rPr>
        <w:t>校园。</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2.政策依据</w:t>
      </w:r>
    </w:p>
    <w:p>
      <w:pPr>
        <w:spacing w:line="560" w:lineRule="exact"/>
        <w:ind w:firstLine="640" w:firstLineChars="200"/>
        <w:rPr>
          <w:rFonts w:ascii="仿宋_GB2312" w:hAnsi="仿宋" w:eastAsia="仿宋_GB2312" w:cstheme="minorEastAsia"/>
          <w:sz w:val="32"/>
          <w:szCs w:val="32"/>
        </w:rPr>
      </w:pPr>
      <w:r>
        <w:rPr>
          <w:rFonts w:hint="eastAsia" w:ascii="仿宋_GB2312" w:hAnsi="仿宋" w:eastAsia="仿宋_GB2312" w:cstheme="minorEastAsia"/>
          <w:sz w:val="32"/>
          <w:szCs w:val="32"/>
        </w:rPr>
        <w:t>（1）2015年，内蒙古自治区人民政府发布《关于加快发展现代职业教育的意见》中提出，在继续做好4所国家示范（骨干）高等职业院校建设的基础上，重点建设10所以上自治区级示范性高等职业院校。</w:t>
      </w:r>
    </w:p>
    <w:p>
      <w:pPr>
        <w:spacing w:line="560" w:lineRule="exact"/>
        <w:ind w:firstLine="640" w:firstLineChars="200"/>
        <w:rPr>
          <w:rFonts w:ascii="仿宋_GB2312" w:hAnsi="仿宋" w:eastAsia="仿宋_GB2312" w:cstheme="minorEastAsia"/>
          <w:sz w:val="32"/>
          <w:szCs w:val="32"/>
        </w:rPr>
      </w:pPr>
      <w:r>
        <w:rPr>
          <w:rFonts w:hint="eastAsia" w:ascii="仿宋_GB2312" w:hAnsi="仿宋" w:eastAsia="仿宋_GB2312" w:cstheme="minorEastAsia"/>
          <w:sz w:val="32"/>
          <w:szCs w:val="32"/>
        </w:rPr>
        <w:t>（2）呼伦贝尔市人民政府2016年第七次常务会议审议通过的《加快发展职业教育加强职业培训的实施意见》中指出，呼伦贝尔市将加快发展职业教育；并明确指出，支持呼伦贝尔职业技术学院创建自治区示范性高职学院。</w:t>
      </w:r>
    </w:p>
    <w:p>
      <w:pPr>
        <w:spacing w:line="560" w:lineRule="exact"/>
        <w:ind w:firstLine="640" w:firstLineChars="200"/>
        <w:rPr>
          <w:rFonts w:ascii="仿宋_GB2312" w:hAnsi="仿宋" w:eastAsia="仿宋_GB2312" w:cstheme="minorEastAsia"/>
          <w:sz w:val="32"/>
          <w:szCs w:val="32"/>
        </w:rPr>
      </w:pPr>
      <w:r>
        <w:rPr>
          <w:rFonts w:hint="eastAsia" w:ascii="仿宋_GB2312" w:hAnsi="仿宋" w:eastAsia="仿宋_GB2312" w:cstheme="minorEastAsia"/>
          <w:sz w:val="32"/>
          <w:szCs w:val="32"/>
        </w:rPr>
        <w:t>（3）学院新校区（南区）建设项目被列为2021年内蒙古自治区和呼伦贝尔市两级重点项目。</w:t>
      </w:r>
    </w:p>
    <w:p>
      <w:pPr>
        <w:spacing w:line="560" w:lineRule="exact"/>
        <w:ind w:firstLine="643" w:firstLineChars="200"/>
        <w:rPr>
          <w:rFonts w:ascii="仿宋_GB2312" w:hAnsi="楷体" w:eastAsia="仿宋_GB2312" w:cs="黑体"/>
          <w:b/>
          <w:sz w:val="32"/>
          <w:szCs w:val="32"/>
        </w:rPr>
      </w:pPr>
      <w:r>
        <w:rPr>
          <w:rFonts w:hint="eastAsia" w:ascii="仿宋_GB2312" w:hAnsi="楷体" w:eastAsia="仿宋_GB2312" w:cs="黑体"/>
          <w:b/>
          <w:sz w:val="32"/>
          <w:szCs w:val="32"/>
        </w:rPr>
        <w:t>3.建设目标与内容</w:t>
      </w:r>
    </w:p>
    <w:p>
      <w:pPr>
        <w:spacing w:line="560" w:lineRule="exact"/>
        <w:ind w:firstLine="640" w:firstLineChars="200"/>
        <w:rPr>
          <w:rFonts w:ascii="仿宋_GB2312" w:hAnsi="仿宋" w:eastAsia="仿宋"/>
          <w:sz w:val="32"/>
          <w:szCs w:val="32"/>
        </w:rPr>
      </w:pPr>
      <w:r>
        <w:rPr>
          <w:rFonts w:hint="eastAsia" w:ascii="仿宋_GB2312" w:hAnsi="仿宋_GB2312" w:eastAsia="仿宋_GB2312" w:cs="仿宋_GB2312"/>
          <w:color w:val="000000" w:themeColor="text1"/>
          <w:sz w:val="32"/>
          <w:szCs w:val="32"/>
        </w:rPr>
        <w:t>（1）强化基础能力硬件建设。完成南区建设项目工程，一期规划</w:t>
      </w:r>
      <w:r>
        <w:rPr>
          <w:rFonts w:hint="eastAsia" w:ascii="仿宋_GB2312" w:hAnsi="仿宋_GB2312" w:eastAsia="仿宋_GB2312" w:cs="仿宋_GB2312"/>
          <w:sz w:val="32"/>
          <w:szCs w:val="32"/>
        </w:rPr>
        <w:t>建筑面积为90195.28㎡，二期规划建筑面积为26694.8㎡；</w:t>
      </w:r>
      <w:r>
        <w:rPr>
          <w:rFonts w:hint="eastAsia" w:ascii="仿宋_GB2312" w:hAnsi="仿宋_GB2312" w:eastAsia="仿宋_GB2312" w:cs="仿宋_GB2312"/>
          <w:color w:val="000000" w:themeColor="text1"/>
          <w:sz w:val="32"/>
          <w:szCs w:val="32"/>
        </w:rPr>
        <w:t>完成</w:t>
      </w:r>
      <w:r>
        <w:rPr>
          <w:rFonts w:hint="eastAsia" w:ascii="仿宋_GB2312" w:hAnsi="仿宋_GB2312" w:eastAsia="仿宋_GB2312" w:cs="仿宋_GB2312"/>
          <w:sz w:val="32"/>
          <w:szCs w:val="32"/>
        </w:rPr>
        <w:t>主楼改造项目工程，进一步完善楼内微型消防站、消防控制室及校园视频监控室建设，建成学院文化展厅。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sz w:val="32"/>
          <w:szCs w:val="32"/>
        </w:rPr>
        <w:t>（2）强化服务能力硬件建设。</w:t>
      </w:r>
      <w:r>
        <w:rPr>
          <w:rFonts w:hint="eastAsia" w:ascii="仿宋_GB2312" w:hAnsi="仿宋" w:eastAsia="仿宋_GB2312" w:cs="仿宋"/>
          <w:sz w:val="32"/>
          <w:szCs w:val="32"/>
        </w:rPr>
        <w:t>按照自治区特殊工种（电工）作业考试点验收工作要求，以及特种作业电工安全技术实际操作考试标准和实操考试点设备配备标准，建成特殊工种（电工）考试点，并配齐相关设备，促进实训教学开展；</w:t>
      </w:r>
      <w:r>
        <w:rPr>
          <w:rFonts w:hint="eastAsia" w:ascii="仿宋_GB2312" w:hAnsi="仿宋" w:eastAsia="仿宋_GB2312" w:cs="仿宋"/>
          <w:sz w:val="32"/>
          <w:szCs w:val="32"/>
          <w:highlight w:val="none"/>
          <w:lang w:eastAsia="zh-CN"/>
        </w:rPr>
        <w:t>努力</w:t>
      </w:r>
      <w:r>
        <w:rPr>
          <w:rFonts w:hint="eastAsia" w:ascii="仿宋_GB2312" w:hAnsi="仿宋" w:eastAsia="仿宋_GB2312" w:cs="仿宋"/>
          <w:sz w:val="32"/>
          <w:szCs w:val="32"/>
          <w:highlight w:val="none"/>
        </w:rPr>
        <w:t>打造呼伦贝尔</w:t>
      </w:r>
      <w:r>
        <w:rPr>
          <w:rFonts w:hint="eastAsia" w:ascii="仿宋_GB2312" w:hAnsi="仿宋" w:eastAsia="仿宋_GB2312" w:cs="仿宋"/>
          <w:sz w:val="32"/>
          <w:szCs w:val="32"/>
        </w:rPr>
        <w:t>市和蒙东地区最大的职业培训基地、职业技能等级评价认定基地、全区高等技能人才培训基地及全国职业院校师资培训基地、北方少数民族非遗文化传承研学基地及职业体验基地，建成呼伦贝尔市最大规模的集监考、监控、网络数据传输管理于一体的全封闭现代化网络培训及无纸化考试中心，建设餐饮实训中心；购置实训船只等培训装备，建设船员基本安全实训室、轮机实训室、讲评室、陈列室和供配电实训室、船员培训档案室、机房等，满足船员基本安全、驾驶类、轮机类、特殊客船教学与实训的需要。</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（十）实施精细管理、提能增效工程</w:t>
      </w:r>
    </w:p>
    <w:p>
      <w:pPr>
        <w:spacing w:line="560" w:lineRule="exact"/>
        <w:ind w:firstLine="643" w:firstLineChars="200"/>
        <w:rPr>
          <w:rFonts w:ascii="仿宋_GB2312" w:hAnsi="仿宋_GB2312" w:eastAsia="仿宋_GB2312" w:cs="仿宋_GB2312"/>
          <w:color w:val="1F497D" w:themeColor="text2"/>
          <w:sz w:val="32"/>
          <w:szCs w:val="32"/>
        </w:rPr>
      </w:pPr>
      <w:r>
        <w:rPr>
          <w:rFonts w:hint="eastAsia" w:ascii="仿宋_GB2312" w:eastAsia="仿宋_GB2312"/>
          <w:b/>
          <w:sz w:val="32"/>
          <w:szCs w:val="32"/>
        </w:rPr>
        <w:t>1.项目简介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推进国家治理体系和治理能力现代化是社会主义现代化的题中应有之义。高校肩负着为党育人、为国育才的重要使命，有责任不断对标一流、深化改革，坚持按章程办学，构建以一流质量标准为核心的制度规范体系，扎实推进学院综合改革，探索更具活力、更富效率的管理体制和运行机制，实施科学规范、高质高效、务实管用的管理制度，构建具有中国特色的现代大学治理体系，进一步提升管理服务水平和工作效能。</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2.政策依据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（1）《中共中央关于坚持和完善中国特色社会主义制度 推进国家治理体系和治理能力现代化若干重大问题的决定》中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（2）国务院《关于加快发展现代职业教育的决定》中提到“职业院校要依法制定体现职业教育特色的章程和制度，完善治理结构，提升治理能力。”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国家职业教育改革实施方案》中提出“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3.建设目标与内容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增强政治引领力。坚持党对学院工作的全面领导，始终把政治建设摆在首位，增强学院党委的政治领导力，全面推进党的建设各项工作。落实立德树人根本任务，把培养社会主义建设者和接班人放在中心位置。紧紧抓住思想政治工作这条生命线，全面加强师生思想政治工作，推进“三全育人”综合改革，将思想政治工作贯穿学院教育教学和管理服务全过程，努力把学生培养成为德才兼备、德技兼修的高水平技术技能人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提升人才聚集力。人才是高质量发展的核心驱动力。坚持引育并举，健全专业人才引、育、督、评相关机制，畅通人才引进渠道，实施人才培育工程。健全专业人才职务职称晋升机制，激发干事创业激情，培养造就一批处于专业技术领域的高级专家和领军人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强化制度约束力。全面修订学院《章程》及现行各项制度，健全符合新时代新形势新要求的制度体系，建立健全“领导干部带头执行、干部职工严格遵守、相关部门常态化监督”的制度执行长效机制，压实监督责任，完善评估机制，确保各项制度时时生威、处处有效，为学院各项工作在制度框架内高质量高效率落实提供制度保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涵育文化软实力。培育具有强大凝聚力的校园文化，树立优良学风、师风、教风、校风，营造团结奋进、向上向善、干事担当的良好氛围，让成就一流事业成为普遍追求和行动自觉，让学院成为吸引和留住优秀人才的沃土，让敢干事、肯干事、能干事的人有更多的荣誉感和获得感。</w:t>
      </w:r>
    </w:p>
    <w:p>
      <w:pPr>
        <w:spacing w:line="560" w:lineRule="exact"/>
        <w:ind w:firstLine="640" w:firstLineChars="200"/>
        <w:rPr>
          <w:rFonts w:ascii="仿宋_GB2312" w:eastAsia="仿宋_GB2312"/>
          <w:sz w:val="32"/>
          <w:szCs w:val="32"/>
        </w:rPr>
      </w:pPr>
    </w:p>
    <w:p>
      <w:pPr>
        <w:spacing w:line="560" w:lineRule="exact"/>
        <w:jc w:val="center"/>
        <w:rPr>
          <w:rFonts w:ascii="方正小标宋简体" w:hAnsi="黑体" w:eastAsia="方正小标宋简体"/>
          <w:sz w:val="32"/>
          <w:szCs w:val="32"/>
        </w:rPr>
      </w:pPr>
      <w:r>
        <w:rPr>
          <w:rFonts w:hint="eastAsia" w:ascii="方正小标宋简体" w:hAnsi="黑体" w:eastAsia="方正小标宋简体"/>
          <w:sz w:val="32"/>
          <w:szCs w:val="32"/>
        </w:rPr>
        <w:t>第四部分  保障措施</w:t>
      </w: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建立“制定—实施—评估”的战略管理体系，健全规划实施的年度监测和评估制度，将规划的实施和落实情况作为考核各部门的重要指标。</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一、加强组织领导</w:t>
      </w:r>
    </w:p>
    <w:p>
      <w:pPr>
        <w:spacing w:line="560" w:lineRule="exact"/>
        <w:ind w:firstLine="640" w:firstLineChars="200"/>
        <w:rPr>
          <w:rFonts w:ascii="华文仿宋" w:hAnsi="华文仿宋" w:eastAsia="仿宋_GB2312" w:cs="Times New Roman"/>
          <w:sz w:val="32"/>
          <w:szCs w:val="32"/>
        </w:rPr>
      </w:pPr>
      <w:r>
        <w:rPr>
          <w:rFonts w:hint="eastAsia" w:ascii="楷体_GB2312" w:hAnsi="华文仿宋" w:eastAsia="楷体_GB2312" w:cs="Times New Roman"/>
          <w:sz w:val="32"/>
          <w:szCs w:val="32"/>
        </w:rPr>
        <w:t>（一）健全组织机构。</w:t>
      </w:r>
      <w:r>
        <w:rPr>
          <w:rFonts w:hint="eastAsia" w:ascii="华文仿宋" w:hAnsi="华文仿宋" w:eastAsia="仿宋_GB2312" w:cs="Times New Roman"/>
          <w:sz w:val="32"/>
          <w:szCs w:val="32"/>
        </w:rPr>
        <w:t>成立“十四五”规划实施领导小组和各专项工作推进组，全面负责规划实施的领导、组织、协调和调度。“十四五”规划实施领导小组由党委书记、院长担任组长，其他院领导担任副组长。“十四五”规划各专项工作推进组由分管副院长兼任组长，专项规划编制小组责任部门负责规划实施的日常工作。</w:t>
      </w:r>
    </w:p>
    <w:p>
      <w:pPr>
        <w:spacing w:line="560" w:lineRule="exact"/>
        <w:ind w:firstLine="640" w:firstLineChars="200"/>
        <w:rPr>
          <w:rFonts w:ascii="华文仿宋" w:hAnsi="华文仿宋" w:eastAsia="仿宋_GB2312" w:cs="Times New Roman"/>
          <w:sz w:val="32"/>
          <w:szCs w:val="32"/>
        </w:rPr>
      </w:pPr>
      <w:r>
        <w:rPr>
          <w:rFonts w:hint="eastAsia" w:ascii="楷体_GB2312" w:hAnsi="华文仿宋" w:eastAsia="楷体_GB2312" w:cs="Times New Roman"/>
          <w:sz w:val="32"/>
          <w:szCs w:val="32"/>
        </w:rPr>
        <w:t>（二）明确任务职责。</w:t>
      </w:r>
      <w:r>
        <w:rPr>
          <w:rFonts w:hint="eastAsia" w:ascii="华文仿宋" w:hAnsi="华文仿宋" w:eastAsia="仿宋_GB2312" w:cs="Times New Roman"/>
          <w:sz w:val="32"/>
          <w:szCs w:val="32"/>
        </w:rPr>
        <w:t>以规划目标和任务为导向，制定目标任务实施清单，分类分级明确分工，落实责任部门和责任人。学院总体规划和专项规划在院长和分管副院长的领导下，由相关职能部门组织实施。每年定期召开会议，研究分析规划实施情况，提出下一步工作建议。</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二、建立评价机制</w:t>
      </w:r>
    </w:p>
    <w:p>
      <w:pPr>
        <w:spacing w:line="560" w:lineRule="exact"/>
        <w:ind w:firstLine="640" w:firstLineChars="200"/>
        <w:rPr>
          <w:rFonts w:ascii="华文仿宋" w:hAnsi="华文仿宋" w:eastAsia="仿宋_GB2312" w:cs="Times New Roman"/>
          <w:sz w:val="32"/>
          <w:szCs w:val="32"/>
        </w:rPr>
      </w:pPr>
      <w:r>
        <w:rPr>
          <w:rFonts w:hint="eastAsia" w:ascii="楷体_GB2312" w:hAnsi="黑体" w:eastAsia="楷体_GB2312" w:cs="Times New Roman"/>
          <w:sz w:val="32"/>
          <w:szCs w:val="32"/>
        </w:rPr>
        <w:t>（一）规划实施机构自评。</w:t>
      </w:r>
      <w:r>
        <w:rPr>
          <w:rFonts w:hint="eastAsia" w:ascii="华文仿宋" w:hAnsi="华文仿宋" w:eastAsia="仿宋_GB2312" w:cs="Times New Roman"/>
          <w:sz w:val="32"/>
          <w:szCs w:val="32"/>
        </w:rPr>
        <w:t>以规划目标任务清单为自评依据，总体规划和专项规划推进组（或牵头推进部门）每年对工作任务完成情况进行年度自评，逐条逐项对照自查，总结经验，查找不足，提出整改思路，形成自评报告上报学院。</w:t>
      </w:r>
    </w:p>
    <w:p>
      <w:pPr>
        <w:spacing w:line="560" w:lineRule="exact"/>
        <w:ind w:firstLine="640" w:firstLineChars="200"/>
        <w:rPr>
          <w:rFonts w:ascii="楷体_GB2312" w:hAnsi="华文仿宋" w:eastAsia="楷体_GB2312" w:cs="Times New Roman"/>
          <w:sz w:val="32"/>
          <w:szCs w:val="32"/>
        </w:rPr>
      </w:pPr>
      <w:r>
        <w:rPr>
          <w:rFonts w:hint="eastAsia" w:ascii="楷体_GB2312" w:hAnsi="黑体" w:eastAsia="楷体_GB2312" w:cs="Times New Roman"/>
          <w:sz w:val="32"/>
          <w:szCs w:val="32"/>
        </w:rPr>
        <w:t>（二）学院年度统一评估。</w:t>
      </w:r>
      <w:r>
        <w:rPr>
          <w:rFonts w:hint="eastAsia" w:ascii="华文仿宋" w:hAnsi="华文仿宋" w:eastAsia="仿宋_GB2312" w:cs="Times New Roman"/>
          <w:sz w:val="32"/>
          <w:szCs w:val="32"/>
        </w:rPr>
        <w:t>“十四五”规划实施过程中，学院“十四五”规划实施领导小组对总体规划和专项规划进行统一年度评估，依据绩效考核平台体现的部门任务完成情况，由质量监控与绩效考核部门具体负责实施评估。评估结果纳入内部质量诊断系统，作为绩效认定、评奖评优、职称评定、职务晋升的重要依据。</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三、完善支持措施</w:t>
      </w:r>
    </w:p>
    <w:p>
      <w:pPr>
        <w:spacing w:line="560" w:lineRule="exact"/>
        <w:ind w:firstLine="640" w:firstLineChars="200"/>
        <w:rPr>
          <w:rFonts w:ascii="华文仿宋" w:hAnsi="华文仿宋" w:eastAsia="仿宋_GB2312" w:cs="Times New Roman"/>
          <w:sz w:val="32"/>
          <w:szCs w:val="32"/>
        </w:rPr>
      </w:pPr>
      <w:bookmarkStart w:id="18" w:name="_Toc389470883"/>
      <w:r>
        <w:rPr>
          <w:rFonts w:hint="eastAsia" w:ascii="楷体_GB2312" w:hAnsi="华文仿宋" w:eastAsia="楷体_GB2312" w:cs="Times New Roman"/>
          <w:sz w:val="32"/>
          <w:szCs w:val="32"/>
        </w:rPr>
        <w:t>（一）争取上级支持。</w:t>
      </w:r>
      <w:r>
        <w:rPr>
          <w:rFonts w:hint="eastAsia" w:ascii="华文仿宋" w:hAnsi="华文仿宋" w:eastAsia="仿宋_GB2312" w:cs="Times New Roman"/>
          <w:sz w:val="32"/>
          <w:szCs w:val="32"/>
        </w:rPr>
        <w:t>积极协调上级有关部门，在教学改革、合作办学、硬件建设、人才引进等方面争取更多的政策支持和资金支持，规范各类经费管理和使用，完善监督机制，确保资金安全。</w:t>
      </w:r>
    </w:p>
    <w:p>
      <w:pPr>
        <w:spacing w:line="560" w:lineRule="exact"/>
        <w:ind w:firstLine="640" w:firstLineChars="200"/>
        <w:rPr>
          <w:rFonts w:ascii="仿宋_GB2312" w:hAnsi="仿宋_GB2312" w:eastAsia="仿宋_GB2312" w:cs="仿宋_GB2312"/>
          <w:color w:val="FF0000"/>
          <w:sz w:val="32"/>
          <w:szCs w:val="32"/>
        </w:rPr>
      </w:pPr>
      <w:r>
        <w:rPr>
          <w:rFonts w:hint="eastAsia" w:ascii="楷体_GB2312" w:hAnsi="华文仿宋" w:eastAsia="楷体_GB2312" w:cs="Times New Roman"/>
          <w:sz w:val="32"/>
          <w:szCs w:val="32"/>
        </w:rPr>
        <w:t>（二）依规保障推进。</w:t>
      </w:r>
      <w:r>
        <w:rPr>
          <w:rFonts w:hint="eastAsia" w:ascii="华文仿宋" w:hAnsi="华文仿宋" w:eastAsia="仿宋_GB2312" w:cs="Times New Roman"/>
          <w:sz w:val="32"/>
          <w:szCs w:val="32"/>
        </w:rPr>
        <w:t>严格执行学院新印发的制度汇编，提高执行力和自觉性，为“十四五”期间重点任务和主要举措的有效推进及高质量完成发展规划提供制度保障。</w:t>
      </w:r>
      <w:bookmarkEnd w:id="18"/>
    </w:p>
    <w:sectPr>
      <w:footerReference r:id="rId3" w:type="default"/>
      <w:pgSz w:w="11906" w:h="16838"/>
      <w:pgMar w:top="1985" w:right="1531" w:bottom="1985"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left:207.35pt;margin-top:-8.25pt;height:144pt;width:144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rPr>
                    <w:rFonts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  \* MERGEFORMAT </w:instrText>
                </w:r>
                <w:r>
                  <w:rPr>
                    <w:rFonts w:hint="eastAsia" w:ascii="宋体" w:hAnsi="宋体" w:eastAsia="宋体" w:cs="宋体"/>
                    <w:sz w:val="22"/>
                    <w:szCs w:val="22"/>
                  </w:rPr>
                  <w:fldChar w:fldCharType="separate"/>
                </w:r>
                <w:r>
                  <w:rPr>
                    <w:rFonts w:ascii="宋体" w:hAnsi="宋体" w:eastAsia="宋体" w:cs="宋体"/>
                    <w:sz w:val="22"/>
                    <w:szCs w:val="22"/>
                  </w:rPr>
                  <w:t>- 1 -</w:t>
                </w:r>
                <w:r>
                  <w:rPr>
                    <w:rFonts w:hint="eastAsia" w:ascii="宋体" w:hAnsi="宋体" w:eastAsia="宋体" w:cs="宋体"/>
                    <w:sz w:val="22"/>
                    <w:szCs w:val="22"/>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07BB2"/>
    <w:rsid w:val="00001401"/>
    <w:rsid w:val="00004AF7"/>
    <w:rsid w:val="00005501"/>
    <w:rsid w:val="00007395"/>
    <w:rsid w:val="00010574"/>
    <w:rsid w:val="00013D38"/>
    <w:rsid w:val="00020838"/>
    <w:rsid w:val="00020D60"/>
    <w:rsid w:val="00021880"/>
    <w:rsid w:val="0002227E"/>
    <w:rsid w:val="0002512E"/>
    <w:rsid w:val="00025A01"/>
    <w:rsid w:val="00026D95"/>
    <w:rsid w:val="00030E92"/>
    <w:rsid w:val="00033698"/>
    <w:rsid w:val="000378DF"/>
    <w:rsid w:val="000406F6"/>
    <w:rsid w:val="00043DBB"/>
    <w:rsid w:val="00047633"/>
    <w:rsid w:val="0005293D"/>
    <w:rsid w:val="000537A1"/>
    <w:rsid w:val="000541C8"/>
    <w:rsid w:val="00060E27"/>
    <w:rsid w:val="00061527"/>
    <w:rsid w:val="0006272A"/>
    <w:rsid w:val="00062897"/>
    <w:rsid w:val="00064714"/>
    <w:rsid w:val="00067D68"/>
    <w:rsid w:val="000703EE"/>
    <w:rsid w:val="00070519"/>
    <w:rsid w:val="000720D6"/>
    <w:rsid w:val="00076D6B"/>
    <w:rsid w:val="000826F1"/>
    <w:rsid w:val="00083E73"/>
    <w:rsid w:val="0008470C"/>
    <w:rsid w:val="00090209"/>
    <w:rsid w:val="00095E87"/>
    <w:rsid w:val="000A29DC"/>
    <w:rsid w:val="000A3232"/>
    <w:rsid w:val="000A41CA"/>
    <w:rsid w:val="000A6C15"/>
    <w:rsid w:val="000B0AA4"/>
    <w:rsid w:val="000B172D"/>
    <w:rsid w:val="000B3D16"/>
    <w:rsid w:val="000B5986"/>
    <w:rsid w:val="000B72B1"/>
    <w:rsid w:val="000B7DEF"/>
    <w:rsid w:val="000D0C86"/>
    <w:rsid w:val="000D53E3"/>
    <w:rsid w:val="000D7A11"/>
    <w:rsid w:val="000E24E6"/>
    <w:rsid w:val="000E5A20"/>
    <w:rsid w:val="000E6AD8"/>
    <w:rsid w:val="000F1A5F"/>
    <w:rsid w:val="000F4788"/>
    <w:rsid w:val="000F6016"/>
    <w:rsid w:val="000F6649"/>
    <w:rsid w:val="001211B2"/>
    <w:rsid w:val="00122098"/>
    <w:rsid w:val="00123921"/>
    <w:rsid w:val="00126D30"/>
    <w:rsid w:val="00133048"/>
    <w:rsid w:val="00133ECE"/>
    <w:rsid w:val="00134D4D"/>
    <w:rsid w:val="00150AF3"/>
    <w:rsid w:val="0015450E"/>
    <w:rsid w:val="00162D81"/>
    <w:rsid w:val="00165B80"/>
    <w:rsid w:val="00177622"/>
    <w:rsid w:val="00181CF6"/>
    <w:rsid w:val="00181E03"/>
    <w:rsid w:val="001821D8"/>
    <w:rsid w:val="00183BD7"/>
    <w:rsid w:val="00190469"/>
    <w:rsid w:val="001917DB"/>
    <w:rsid w:val="00191F4E"/>
    <w:rsid w:val="00194746"/>
    <w:rsid w:val="00195CD9"/>
    <w:rsid w:val="001976C9"/>
    <w:rsid w:val="001A0A61"/>
    <w:rsid w:val="001A2CAC"/>
    <w:rsid w:val="001A5323"/>
    <w:rsid w:val="001A5A48"/>
    <w:rsid w:val="001A66BB"/>
    <w:rsid w:val="001A7683"/>
    <w:rsid w:val="001B7536"/>
    <w:rsid w:val="001C3DAF"/>
    <w:rsid w:val="001C6CE5"/>
    <w:rsid w:val="001D329D"/>
    <w:rsid w:val="001D52C7"/>
    <w:rsid w:val="001E2820"/>
    <w:rsid w:val="001E3D23"/>
    <w:rsid w:val="001E4D58"/>
    <w:rsid w:val="001E5BA7"/>
    <w:rsid w:val="001E5FCA"/>
    <w:rsid w:val="001E75A6"/>
    <w:rsid w:val="001F4689"/>
    <w:rsid w:val="00206466"/>
    <w:rsid w:val="0021004A"/>
    <w:rsid w:val="00211EE2"/>
    <w:rsid w:val="002144E0"/>
    <w:rsid w:val="002215E3"/>
    <w:rsid w:val="00223837"/>
    <w:rsid w:val="00224CF0"/>
    <w:rsid w:val="00225AED"/>
    <w:rsid w:val="00235933"/>
    <w:rsid w:val="00235FEB"/>
    <w:rsid w:val="002413DA"/>
    <w:rsid w:val="002426A9"/>
    <w:rsid w:val="0024403B"/>
    <w:rsid w:val="002506D2"/>
    <w:rsid w:val="002546EE"/>
    <w:rsid w:val="00254E3F"/>
    <w:rsid w:val="002551B5"/>
    <w:rsid w:val="00255A16"/>
    <w:rsid w:val="00261A0F"/>
    <w:rsid w:val="00262B07"/>
    <w:rsid w:val="00270EF6"/>
    <w:rsid w:val="002719A8"/>
    <w:rsid w:val="0027365D"/>
    <w:rsid w:val="00275634"/>
    <w:rsid w:val="00276035"/>
    <w:rsid w:val="00286EC4"/>
    <w:rsid w:val="0029120D"/>
    <w:rsid w:val="00291539"/>
    <w:rsid w:val="002940ED"/>
    <w:rsid w:val="00294550"/>
    <w:rsid w:val="002A7DD2"/>
    <w:rsid w:val="002B421C"/>
    <w:rsid w:val="002B44AF"/>
    <w:rsid w:val="002B45E4"/>
    <w:rsid w:val="002B5CFB"/>
    <w:rsid w:val="002C0335"/>
    <w:rsid w:val="002C085C"/>
    <w:rsid w:val="002C0DCD"/>
    <w:rsid w:val="002C1F27"/>
    <w:rsid w:val="002C42EC"/>
    <w:rsid w:val="002C55F0"/>
    <w:rsid w:val="002D32C9"/>
    <w:rsid w:val="002E7850"/>
    <w:rsid w:val="002E7898"/>
    <w:rsid w:val="00303ED7"/>
    <w:rsid w:val="00304FBB"/>
    <w:rsid w:val="00307B1F"/>
    <w:rsid w:val="00310145"/>
    <w:rsid w:val="00322906"/>
    <w:rsid w:val="00325CB7"/>
    <w:rsid w:val="0032646A"/>
    <w:rsid w:val="00330F0C"/>
    <w:rsid w:val="0033108E"/>
    <w:rsid w:val="00335154"/>
    <w:rsid w:val="00342499"/>
    <w:rsid w:val="00346059"/>
    <w:rsid w:val="003467E8"/>
    <w:rsid w:val="003469E7"/>
    <w:rsid w:val="00346A98"/>
    <w:rsid w:val="0036229D"/>
    <w:rsid w:val="003638C5"/>
    <w:rsid w:val="00365B47"/>
    <w:rsid w:val="00366047"/>
    <w:rsid w:val="0036620D"/>
    <w:rsid w:val="00367F7C"/>
    <w:rsid w:val="003740BD"/>
    <w:rsid w:val="00375C71"/>
    <w:rsid w:val="00382263"/>
    <w:rsid w:val="00383ADF"/>
    <w:rsid w:val="0038413C"/>
    <w:rsid w:val="00391DFF"/>
    <w:rsid w:val="00392B84"/>
    <w:rsid w:val="003932BD"/>
    <w:rsid w:val="00393D7E"/>
    <w:rsid w:val="00397407"/>
    <w:rsid w:val="003A0F52"/>
    <w:rsid w:val="003A336B"/>
    <w:rsid w:val="003A6E2F"/>
    <w:rsid w:val="003B50DA"/>
    <w:rsid w:val="003B513C"/>
    <w:rsid w:val="003B6FAC"/>
    <w:rsid w:val="003C21AC"/>
    <w:rsid w:val="003C6E0C"/>
    <w:rsid w:val="003D0DE5"/>
    <w:rsid w:val="003E0FCD"/>
    <w:rsid w:val="003E1C7A"/>
    <w:rsid w:val="003E2E45"/>
    <w:rsid w:val="003E6AFE"/>
    <w:rsid w:val="003F3DA3"/>
    <w:rsid w:val="00400F65"/>
    <w:rsid w:val="004033E1"/>
    <w:rsid w:val="00407178"/>
    <w:rsid w:val="0040730B"/>
    <w:rsid w:val="00407BB2"/>
    <w:rsid w:val="00411A1A"/>
    <w:rsid w:val="00417CCF"/>
    <w:rsid w:val="00425A59"/>
    <w:rsid w:val="0042643F"/>
    <w:rsid w:val="00430626"/>
    <w:rsid w:val="0043111D"/>
    <w:rsid w:val="00437636"/>
    <w:rsid w:val="00454C0F"/>
    <w:rsid w:val="00460288"/>
    <w:rsid w:val="00460AEB"/>
    <w:rsid w:val="00461C9E"/>
    <w:rsid w:val="00462ABA"/>
    <w:rsid w:val="00464847"/>
    <w:rsid w:val="004653A0"/>
    <w:rsid w:val="00470858"/>
    <w:rsid w:val="00472360"/>
    <w:rsid w:val="00474DF8"/>
    <w:rsid w:val="00476549"/>
    <w:rsid w:val="0048659A"/>
    <w:rsid w:val="004867C8"/>
    <w:rsid w:val="004906BD"/>
    <w:rsid w:val="004918EE"/>
    <w:rsid w:val="00491B89"/>
    <w:rsid w:val="00492223"/>
    <w:rsid w:val="00492263"/>
    <w:rsid w:val="00492BA6"/>
    <w:rsid w:val="004938F0"/>
    <w:rsid w:val="00495199"/>
    <w:rsid w:val="004961CE"/>
    <w:rsid w:val="004A0A52"/>
    <w:rsid w:val="004B4D7A"/>
    <w:rsid w:val="004B4F25"/>
    <w:rsid w:val="004B5E70"/>
    <w:rsid w:val="004C171E"/>
    <w:rsid w:val="004C1A8B"/>
    <w:rsid w:val="004C4CA5"/>
    <w:rsid w:val="004E1E17"/>
    <w:rsid w:val="004E228F"/>
    <w:rsid w:val="004E234C"/>
    <w:rsid w:val="004E578D"/>
    <w:rsid w:val="004F0826"/>
    <w:rsid w:val="0050202B"/>
    <w:rsid w:val="00503181"/>
    <w:rsid w:val="00507F68"/>
    <w:rsid w:val="00510F50"/>
    <w:rsid w:val="00513475"/>
    <w:rsid w:val="0051351C"/>
    <w:rsid w:val="005213C0"/>
    <w:rsid w:val="00522578"/>
    <w:rsid w:val="0052687F"/>
    <w:rsid w:val="0053342C"/>
    <w:rsid w:val="00535895"/>
    <w:rsid w:val="0053632A"/>
    <w:rsid w:val="00542D79"/>
    <w:rsid w:val="00546408"/>
    <w:rsid w:val="00546EDE"/>
    <w:rsid w:val="00562946"/>
    <w:rsid w:val="005648FA"/>
    <w:rsid w:val="00564FF8"/>
    <w:rsid w:val="0056548E"/>
    <w:rsid w:val="00567494"/>
    <w:rsid w:val="00567F41"/>
    <w:rsid w:val="005707E2"/>
    <w:rsid w:val="00570EDA"/>
    <w:rsid w:val="00571E0C"/>
    <w:rsid w:val="00572ECE"/>
    <w:rsid w:val="00573639"/>
    <w:rsid w:val="00575CBA"/>
    <w:rsid w:val="0057673B"/>
    <w:rsid w:val="00577AD0"/>
    <w:rsid w:val="005870EB"/>
    <w:rsid w:val="005925DF"/>
    <w:rsid w:val="00596723"/>
    <w:rsid w:val="00597373"/>
    <w:rsid w:val="005A17BF"/>
    <w:rsid w:val="005A574C"/>
    <w:rsid w:val="005B1AE8"/>
    <w:rsid w:val="005B22CA"/>
    <w:rsid w:val="005B28A7"/>
    <w:rsid w:val="005B4D20"/>
    <w:rsid w:val="005B5B49"/>
    <w:rsid w:val="005B5DE4"/>
    <w:rsid w:val="005C2664"/>
    <w:rsid w:val="005C2AB7"/>
    <w:rsid w:val="005C2CFF"/>
    <w:rsid w:val="005C3BCB"/>
    <w:rsid w:val="005D2786"/>
    <w:rsid w:val="005D3A81"/>
    <w:rsid w:val="005D4E32"/>
    <w:rsid w:val="005D59DB"/>
    <w:rsid w:val="005E121F"/>
    <w:rsid w:val="005E3C7C"/>
    <w:rsid w:val="005E629B"/>
    <w:rsid w:val="005E6E5F"/>
    <w:rsid w:val="005F595B"/>
    <w:rsid w:val="005F5E0E"/>
    <w:rsid w:val="005F7195"/>
    <w:rsid w:val="005F7F8F"/>
    <w:rsid w:val="005F7FC3"/>
    <w:rsid w:val="00600176"/>
    <w:rsid w:val="00600858"/>
    <w:rsid w:val="00600905"/>
    <w:rsid w:val="006021FB"/>
    <w:rsid w:val="00603383"/>
    <w:rsid w:val="006078C3"/>
    <w:rsid w:val="0061455A"/>
    <w:rsid w:val="0061470C"/>
    <w:rsid w:val="006161B7"/>
    <w:rsid w:val="00616631"/>
    <w:rsid w:val="0061773E"/>
    <w:rsid w:val="00620DDB"/>
    <w:rsid w:val="006225F5"/>
    <w:rsid w:val="006243DA"/>
    <w:rsid w:val="00625EE5"/>
    <w:rsid w:val="006272F5"/>
    <w:rsid w:val="006330BE"/>
    <w:rsid w:val="006334C2"/>
    <w:rsid w:val="0063623D"/>
    <w:rsid w:val="006438BC"/>
    <w:rsid w:val="006462E7"/>
    <w:rsid w:val="00647750"/>
    <w:rsid w:val="006529E0"/>
    <w:rsid w:val="00653826"/>
    <w:rsid w:val="0065677C"/>
    <w:rsid w:val="0066149A"/>
    <w:rsid w:val="00661523"/>
    <w:rsid w:val="00664875"/>
    <w:rsid w:val="00665104"/>
    <w:rsid w:val="0067131A"/>
    <w:rsid w:val="00682AE3"/>
    <w:rsid w:val="006910B6"/>
    <w:rsid w:val="006940C0"/>
    <w:rsid w:val="00695471"/>
    <w:rsid w:val="00697C5F"/>
    <w:rsid w:val="006A0791"/>
    <w:rsid w:val="006A25B4"/>
    <w:rsid w:val="006A41DF"/>
    <w:rsid w:val="006A71C9"/>
    <w:rsid w:val="006B0DD1"/>
    <w:rsid w:val="006B37FB"/>
    <w:rsid w:val="006C447A"/>
    <w:rsid w:val="006D6393"/>
    <w:rsid w:val="006D75CB"/>
    <w:rsid w:val="006D791E"/>
    <w:rsid w:val="006E27AC"/>
    <w:rsid w:val="006F002D"/>
    <w:rsid w:val="006F0B46"/>
    <w:rsid w:val="006F2393"/>
    <w:rsid w:val="006F49BB"/>
    <w:rsid w:val="00707D91"/>
    <w:rsid w:val="00711D01"/>
    <w:rsid w:val="00715A93"/>
    <w:rsid w:val="00715FD2"/>
    <w:rsid w:val="00716961"/>
    <w:rsid w:val="00720BA2"/>
    <w:rsid w:val="00721089"/>
    <w:rsid w:val="007217D0"/>
    <w:rsid w:val="00725B22"/>
    <w:rsid w:val="0072610C"/>
    <w:rsid w:val="00726521"/>
    <w:rsid w:val="00726931"/>
    <w:rsid w:val="0073074B"/>
    <w:rsid w:val="007312B7"/>
    <w:rsid w:val="00731DA9"/>
    <w:rsid w:val="00734707"/>
    <w:rsid w:val="00741F7B"/>
    <w:rsid w:val="00743809"/>
    <w:rsid w:val="00743F0F"/>
    <w:rsid w:val="007448BD"/>
    <w:rsid w:val="00744C1F"/>
    <w:rsid w:val="007460F6"/>
    <w:rsid w:val="007461AD"/>
    <w:rsid w:val="007463CF"/>
    <w:rsid w:val="00751AF5"/>
    <w:rsid w:val="007528C6"/>
    <w:rsid w:val="00755255"/>
    <w:rsid w:val="0076715E"/>
    <w:rsid w:val="00767E7E"/>
    <w:rsid w:val="00774A1A"/>
    <w:rsid w:val="00777977"/>
    <w:rsid w:val="007849FC"/>
    <w:rsid w:val="00784E03"/>
    <w:rsid w:val="0078542F"/>
    <w:rsid w:val="0078565B"/>
    <w:rsid w:val="00786FC8"/>
    <w:rsid w:val="00790875"/>
    <w:rsid w:val="00792353"/>
    <w:rsid w:val="00792B04"/>
    <w:rsid w:val="007A29AD"/>
    <w:rsid w:val="007A56D4"/>
    <w:rsid w:val="007B03DA"/>
    <w:rsid w:val="007B0848"/>
    <w:rsid w:val="007B14E9"/>
    <w:rsid w:val="007B479F"/>
    <w:rsid w:val="007B7853"/>
    <w:rsid w:val="007C2A3E"/>
    <w:rsid w:val="007C3CF5"/>
    <w:rsid w:val="007C6F31"/>
    <w:rsid w:val="007C7FA6"/>
    <w:rsid w:val="007D0A08"/>
    <w:rsid w:val="007D6623"/>
    <w:rsid w:val="007D7710"/>
    <w:rsid w:val="007E3AD5"/>
    <w:rsid w:val="007F0F93"/>
    <w:rsid w:val="007F32FC"/>
    <w:rsid w:val="00800E67"/>
    <w:rsid w:val="008031A1"/>
    <w:rsid w:val="00805A87"/>
    <w:rsid w:val="008121C4"/>
    <w:rsid w:val="00812F22"/>
    <w:rsid w:val="0081311C"/>
    <w:rsid w:val="0081793A"/>
    <w:rsid w:val="00820703"/>
    <w:rsid w:val="00820A87"/>
    <w:rsid w:val="00822FCC"/>
    <w:rsid w:val="00823186"/>
    <w:rsid w:val="008241E2"/>
    <w:rsid w:val="00826EB4"/>
    <w:rsid w:val="00827615"/>
    <w:rsid w:val="00827A3F"/>
    <w:rsid w:val="008426E8"/>
    <w:rsid w:val="00846407"/>
    <w:rsid w:val="00851346"/>
    <w:rsid w:val="00854B87"/>
    <w:rsid w:val="00854BE1"/>
    <w:rsid w:val="00856A44"/>
    <w:rsid w:val="00856D25"/>
    <w:rsid w:val="00861861"/>
    <w:rsid w:val="00866684"/>
    <w:rsid w:val="00874019"/>
    <w:rsid w:val="0087629D"/>
    <w:rsid w:val="008807A8"/>
    <w:rsid w:val="00882A62"/>
    <w:rsid w:val="00882E6B"/>
    <w:rsid w:val="0088379B"/>
    <w:rsid w:val="00884847"/>
    <w:rsid w:val="00886184"/>
    <w:rsid w:val="00894F43"/>
    <w:rsid w:val="00896532"/>
    <w:rsid w:val="00897B85"/>
    <w:rsid w:val="008A1C08"/>
    <w:rsid w:val="008A5459"/>
    <w:rsid w:val="008B0DF6"/>
    <w:rsid w:val="008B28B5"/>
    <w:rsid w:val="008B311E"/>
    <w:rsid w:val="008B7C04"/>
    <w:rsid w:val="008C4E30"/>
    <w:rsid w:val="008C5294"/>
    <w:rsid w:val="008C5AA8"/>
    <w:rsid w:val="008C6CEE"/>
    <w:rsid w:val="008D50CC"/>
    <w:rsid w:val="008D6F7D"/>
    <w:rsid w:val="008E1181"/>
    <w:rsid w:val="008E1443"/>
    <w:rsid w:val="008E3B02"/>
    <w:rsid w:val="008E48B6"/>
    <w:rsid w:val="008E598A"/>
    <w:rsid w:val="008E7AF6"/>
    <w:rsid w:val="008F08E8"/>
    <w:rsid w:val="008F3013"/>
    <w:rsid w:val="008F7CED"/>
    <w:rsid w:val="008F7F07"/>
    <w:rsid w:val="009007E9"/>
    <w:rsid w:val="0090531D"/>
    <w:rsid w:val="00916DF9"/>
    <w:rsid w:val="00920DF2"/>
    <w:rsid w:val="00922E17"/>
    <w:rsid w:val="0092652D"/>
    <w:rsid w:val="00932C9B"/>
    <w:rsid w:val="009346C6"/>
    <w:rsid w:val="00935AD6"/>
    <w:rsid w:val="00940694"/>
    <w:rsid w:val="00940992"/>
    <w:rsid w:val="009415C2"/>
    <w:rsid w:val="0094732F"/>
    <w:rsid w:val="009504FA"/>
    <w:rsid w:val="00952178"/>
    <w:rsid w:val="00953D67"/>
    <w:rsid w:val="00953FC5"/>
    <w:rsid w:val="0095728C"/>
    <w:rsid w:val="00963647"/>
    <w:rsid w:val="00967498"/>
    <w:rsid w:val="0097381E"/>
    <w:rsid w:val="00976AE9"/>
    <w:rsid w:val="0098544C"/>
    <w:rsid w:val="009860AB"/>
    <w:rsid w:val="00986EC1"/>
    <w:rsid w:val="00991B68"/>
    <w:rsid w:val="009953D2"/>
    <w:rsid w:val="009A32A0"/>
    <w:rsid w:val="009A3B9E"/>
    <w:rsid w:val="009A3D81"/>
    <w:rsid w:val="009A40E2"/>
    <w:rsid w:val="009A44B3"/>
    <w:rsid w:val="009A45C3"/>
    <w:rsid w:val="009A4687"/>
    <w:rsid w:val="009A55A8"/>
    <w:rsid w:val="009A5DF1"/>
    <w:rsid w:val="009B3796"/>
    <w:rsid w:val="009C0CCB"/>
    <w:rsid w:val="009C4393"/>
    <w:rsid w:val="009D0939"/>
    <w:rsid w:val="009D2726"/>
    <w:rsid w:val="009D5325"/>
    <w:rsid w:val="009E10FF"/>
    <w:rsid w:val="009E1520"/>
    <w:rsid w:val="009E6C08"/>
    <w:rsid w:val="009E7981"/>
    <w:rsid w:val="009F1D9B"/>
    <w:rsid w:val="009F3448"/>
    <w:rsid w:val="009F5D74"/>
    <w:rsid w:val="009F67B8"/>
    <w:rsid w:val="00A023D2"/>
    <w:rsid w:val="00A04EE2"/>
    <w:rsid w:val="00A074E4"/>
    <w:rsid w:val="00A1014C"/>
    <w:rsid w:val="00A12290"/>
    <w:rsid w:val="00A14C3B"/>
    <w:rsid w:val="00A15013"/>
    <w:rsid w:val="00A153E9"/>
    <w:rsid w:val="00A16B22"/>
    <w:rsid w:val="00A20D7C"/>
    <w:rsid w:val="00A21830"/>
    <w:rsid w:val="00A2307E"/>
    <w:rsid w:val="00A23A0D"/>
    <w:rsid w:val="00A26A67"/>
    <w:rsid w:val="00A27FAE"/>
    <w:rsid w:val="00A30649"/>
    <w:rsid w:val="00A30AD2"/>
    <w:rsid w:val="00A31E55"/>
    <w:rsid w:val="00A35EB2"/>
    <w:rsid w:val="00A42593"/>
    <w:rsid w:val="00A4273A"/>
    <w:rsid w:val="00A43660"/>
    <w:rsid w:val="00A44A87"/>
    <w:rsid w:val="00A4537F"/>
    <w:rsid w:val="00A50657"/>
    <w:rsid w:val="00A5167E"/>
    <w:rsid w:val="00A528D4"/>
    <w:rsid w:val="00A52C9C"/>
    <w:rsid w:val="00A5331F"/>
    <w:rsid w:val="00A542A1"/>
    <w:rsid w:val="00A55626"/>
    <w:rsid w:val="00A61EE5"/>
    <w:rsid w:val="00A61FA2"/>
    <w:rsid w:val="00A6429C"/>
    <w:rsid w:val="00A6495F"/>
    <w:rsid w:val="00A66356"/>
    <w:rsid w:val="00A66B0B"/>
    <w:rsid w:val="00A67D2D"/>
    <w:rsid w:val="00A713EC"/>
    <w:rsid w:val="00A7228D"/>
    <w:rsid w:val="00A76655"/>
    <w:rsid w:val="00A82819"/>
    <w:rsid w:val="00A84D61"/>
    <w:rsid w:val="00A91080"/>
    <w:rsid w:val="00A969B8"/>
    <w:rsid w:val="00A96F3C"/>
    <w:rsid w:val="00A97F6E"/>
    <w:rsid w:val="00AA6089"/>
    <w:rsid w:val="00AB25B1"/>
    <w:rsid w:val="00AB2D8C"/>
    <w:rsid w:val="00AB410D"/>
    <w:rsid w:val="00AB42B5"/>
    <w:rsid w:val="00AB4484"/>
    <w:rsid w:val="00AB6AFC"/>
    <w:rsid w:val="00AC1970"/>
    <w:rsid w:val="00AC420A"/>
    <w:rsid w:val="00AC6322"/>
    <w:rsid w:val="00AC736D"/>
    <w:rsid w:val="00AC75C3"/>
    <w:rsid w:val="00AD0F1F"/>
    <w:rsid w:val="00AD3496"/>
    <w:rsid w:val="00AD68DC"/>
    <w:rsid w:val="00AD7CA9"/>
    <w:rsid w:val="00AE4CD9"/>
    <w:rsid w:val="00AE52A4"/>
    <w:rsid w:val="00AE75C8"/>
    <w:rsid w:val="00AF0ADD"/>
    <w:rsid w:val="00AF1748"/>
    <w:rsid w:val="00AF234D"/>
    <w:rsid w:val="00AF30C6"/>
    <w:rsid w:val="00AF3434"/>
    <w:rsid w:val="00AF7514"/>
    <w:rsid w:val="00B061F6"/>
    <w:rsid w:val="00B123AE"/>
    <w:rsid w:val="00B158D1"/>
    <w:rsid w:val="00B15FE5"/>
    <w:rsid w:val="00B17593"/>
    <w:rsid w:val="00B30CD3"/>
    <w:rsid w:val="00B3314A"/>
    <w:rsid w:val="00B36EB8"/>
    <w:rsid w:val="00B42777"/>
    <w:rsid w:val="00B42E75"/>
    <w:rsid w:val="00B443E7"/>
    <w:rsid w:val="00B51A46"/>
    <w:rsid w:val="00B60BD1"/>
    <w:rsid w:val="00B62413"/>
    <w:rsid w:val="00B66275"/>
    <w:rsid w:val="00B66668"/>
    <w:rsid w:val="00B66D8C"/>
    <w:rsid w:val="00B75744"/>
    <w:rsid w:val="00B766B9"/>
    <w:rsid w:val="00B77FB6"/>
    <w:rsid w:val="00B86B78"/>
    <w:rsid w:val="00B97B61"/>
    <w:rsid w:val="00BA27D8"/>
    <w:rsid w:val="00BB326B"/>
    <w:rsid w:val="00BB5806"/>
    <w:rsid w:val="00BC09DC"/>
    <w:rsid w:val="00BC3181"/>
    <w:rsid w:val="00BC42D2"/>
    <w:rsid w:val="00BC5A91"/>
    <w:rsid w:val="00BC5DFC"/>
    <w:rsid w:val="00BD0489"/>
    <w:rsid w:val="00BD0BFF"/>
    <w:rsid w:val="00BD2806"/>
    <w:rsid w:val="00BD2B4F"/>
    <w:rsid w:val="00BD328C"/>
    <w:rsid w:val="00BD54E7"/>
    <w:rsid w:val="00BD74AE"/>
    <w:rsid w:val="00BE341B"/>
    <w:rsid w:val="00BE3E85"/>
    <w:rsid w:val="00BF2DE1"/>
    <w:rsid w:val="00BF31F0"/>
    <w:rsid w:val="00BF34A3"/>
    <w:rsid w:val="00BF65A0"/>
    <w:rsid w:val="00BF7259"/>
    <w:rsid w:val="00BF7523"/>
    <w:rsid w:val="00BF7E98"/>
    <w:rsid w:val="00C00677"/>
    <w:rsid w:val="00C023D9"/>
    <w:rsid w:val="00C045CD"/>
    <w:rsid w:val="00C0730B"/>
    <w:rsid w:val="00C101B0"/>
    <w:rsid w:val="00C12424"/>
    <w:rsid w:val="00C1422A"/>
    <w:rsid w:val="00C16C78"/>
    <w:rsid w:val="00C2008A"/>
    <w:rsid w:val="00C20929"/>
    <w:rsid w:val="00C239C8"/>
    <w:rsid w:val="00C329A5"/>
    <w:rsid w:val="00C34143"/>
    <w:rsid w:val="00C34424"/>
    <w:rsid w:val="00C408DD"/>
    <w:rsid w:val="00C42104"/>
    <w:rsid w:val="00C437A2"/>
    <w:rsid w:val="00C43A9C"/>
    <w:rsid w:val="00C44CF4"/>
    <w:rsid w:val="00C5486B"/>
    <w:rsid w:val="00C560C5"/>
    <w:rsid w:val="00C562CF"/>
    <w:rsid w:val="00C644AC"/>
    <w:rsid w:val="00C6649D"/>
    <w:rsid w:val="00C73E0B"/>
    <w:rsid w:val="00C750C7"/>
    <w:rsid w:val="00C77076"/>
    <w:rsid w:val="00C77303"/>
    <w:rsid w:val="00C82DCF"/>
    <w:rsid w:val="00C8339F"/>
    <w:rsid w:val="00C86B9D"/>
    <w:rsid w:val="00C90BAA"/>
    <w:rsid w:val="00C9134B"/>
    <w:rsid w:val="00C92E13"/>
    <w:rsid w:val="00C94FB0"/>
    <w:rsid w:val="00CA0A5A"/>
    <w:rsid w:val="00CA16CD"/>
    <w:rsid w:val="00CA3B89"/>
    <w:rsid w:val="00CA4E7E"/>
    <w:rsid w:val="00CA63D2"/>
    <w:rsid w:val="00CA79CD"/>
    <w:rsid w:val="00CB44D5"/>
    <w:rsid w:val="00CB5701"/>
    <w:rsid w:val="00CB6988"/>
    <w:rsid w:val="00CB7DB9"/>
    <w:rsid w:val="00CC06CA"/>
    <w:rsid w:val="00CC3AFA"/>
    <w:rsid w:val="00CC5DF5"/>
    <w:rsid w:val="00CD0BAA"/>
    <w:rsid w:val="00CD369B"/>
    <w:rsid w:val="00CD5933"/>
    <w:rsid w:val="00CE16C9"/>
    <w:rsid w:val="00CE3605"/>
    <w:rsid w:val="00CF0858"/>
    <w:rsid w:val="00CF182C"/>
    <w:rsid w:val="00CF26C9"/>
    <w:rsid w:val="00CF6011"/>
    <w:rsid w:val="00CF62D7"/>
    <w:rsid w:val="00CF7604"/>
    <w:rsid w:val="00D00676"/>
    <w:rsid w:val="00D044EC"/>
    <w:rsid w:val="00D04CC4"/>
    <w:rsid w:val="00D04D18"/>
    <w:rsid w:val="00D0517E"/>
    <w:rsid w:val="00D13AD4"/>
    <w:rsid w:val="00D13D8E"/>
    <w:rsid w:val="00D17B60"/>
    <w:rsid w:val="00D20C3D"/>
    <w:rsid w:val="00D26EF7"/>
    <w:rsid w:val="00D404A6"/>
    <w:rsid w:val="00D44594"/>
    <w:rsid w:val="00D506A0"/>
    <w:rsid w:val="00D50C41"/>
    <w:rsid w:val="00D53005"/>
    <w:rsid w:val="00D54D7B"/>
    <w:rsid w:val="00D62A58"/>
    <w:rsid w:val="00D64027"/>
    <w:rsid w:val="00D65B8A"/>
    <w:rsid w:val="00D66A8F"/>
    <w:rsid w:val="00D66C1F"/>
    <w:rsid w:val="00D722D8"/>
    <w:rsid w:val="00D77B3F"/>
    <w:rsid w:val="00D77E94"/>
    <w:rsid w:val="00D91DAA"/>
    <w:rsid w:val="00D927AC"/>
    <w:rsid w:val="00D963B1"/>
    <w:rsid w:val="00D97782"/>
    <w:rsid w:val="00DA02F2"/>
    <w:rsid w:val="00DA14E2"/>
    <w:rsid w:val="00DA4581"/>
    <w:rsid w:val="00DA4E40"/>
    <w:rsid w:val="00DB068A"/>
    <w:rsid w:val="00DB6252"/>
    <w:rsid w:val="00DB6EBE"/>
    <w:rsid w:val="00DB7D4A"/>
    <w:rsid w:val="00DC2BFA"/>
    <w:rsid w:val="00DC310A"/>
    <w:rsid w:val="00DD0CF3"/>
    <w:rsid w:val="00DD5106"/>
    <w:rsid w:val="00DD5C62"/>
    <w:rsid w:val="00DE0737"/>
    <w:rsid w:val="00DE2240"/>
    <w:rsid w:val="00DE25DB"/>
    <w:rsid w:val="00DF05D9"/>
    <w:rsid w:val="00DF0FA1"/>
    <w:rsid w:val="00DF2F8B"/>
    <w:rsid w:val="00DF64E6"/>
    <w:rsid w:val="00E03946"/>
    <w:rsid w:val="00E06B19"/>
    <w:rsid w:val="00E10D26"/>
    <w:rsid w:val="00E13825"/>
    <w:rsid w:val="00E14632"/>
    <w:rsid w:val="00E1600C"/>
    <w:rsid w:val="00E16535"/>
    <w:rsid w:val="00E21A13"/>
    <w:rsid w:val="00E21C71"/>
    <w:rsid w:val="00E24017"/>
    <w:rsid w:val="00E27DD9"/>
    <w:rsid w:val="00E30DD2"/>
    <w:rsid w:val="00E3196A"/>
    <w:rsid w:val="00E31DAC"/>
    <w:rsid w:val="00E32420"/>
    <w:rsid w:val="00E342D5"/>
    <w:rsid w:val="00E3476F"/>
    <w:rsid w:val="00E35E1C"/>
    <w:rsid w:val="00E46895"/>
    <w:rsid w:val="00E52A01"/>
    <w:rsid w:val="00E63E52"/>
    <w:rsid w:val="00E645C3"/>
    <w:rsid w:val="00E6589C"/>
    <w:rsid w:val="00E66B53"/>
    <w:rsid w:val="00E70374"/>
    <w:rsid w:val="00E70395"/>
    <w:rsid w:val="00E71385"/>
    <w:rsid w:val="00E73067"/>
    <w:rsid w:val="00E74F2C"/>
    <w:rsid w:val="00E8165D"/>
    <w:rsid w:val="00E86A16"/>
    <w:rsid w:val="00E91115"/>
    <w:rsid w:val="00E91F3A"/>
    <w:rsid w:val="00E94E19"/>
    <w:rsid w:val="00E95B39"/>
    <w:rsid w:val="00E96A27"/>
    <w:rsid w:val="00E9726E"/>
    <w:rsid w:val="00EA0A1C"/>
    <w:rsid w:val="00EA0A93"/>
    <w:rsid w:val="00EA251D"/>
    <w:rsid w:val="00EA2DAD"/>
    <w:rsid w:val="00EA37A3"/>
    <w:rsid w:val="00EA3B3D"/>
    <w:rsid w:val="00EA40B8"/>
    <w:rsid w:val="00EA527C"/>
    <w:rsid w:val="00EA5E0F"/>
    <w:rsid w:val="00EA6174"/>
    <w:rsid w:val="00EC140F"/>
    <w:rsid w:val="00EC2341"/>
    <w:rsid w:val="00EC3A9F"/>
    <w:rsid w:val="00ED58FB"/>
    <w:rsid w:val="00ED7A20"/>
    <w:rsid w:val="00EE07F0"/>
    <w:rsid w:val="00EE11E3"/>
    <w:rsid w:val="00EE3708"/>
    <w:rsid w:val="00EE751F"/>
    <w:rsid w:val="00F016B0"/>
    <w:rsid w:val="00F028EE"/>
    <w:rsid w:val="00F152B8"/>
    <w:rsid w:val="00F17D35"/>
    <w:rsid w:val="00F209DF"/>
    <w:rsid w:val="00F21045"/>
    <w:rsid w:val="00F23233"/>
    <w:rsid w:val="00F25801"/>
    <w:rsid w:val="00F31804"/>
    <w:rsid w:val="00F34180"/>
    <w:rsid w:val="00F34892"/>
    <w:rsid w:val="00F35656"/>
    <w:rsid w:val="00F359A3"/>
    <w:rsid w:val="00F3643A"/>
    <w:rsid w:val="00F36914"/>
    <w:rsid w:val="00F40E2C"/>
    <w:rsid w:val="00F42811"/>
    <w:rsid w:val="00F508FC"/>
    <w:rsid w:val="00F50A67"/>
    <w:rsid w:val="00F53EE7"/>
    <w:rsid w:val="00F55CD2"/>
    <w:rsid w:val="00F56ED5"/>
    <w:rsid w:val="00F63970"/>
    <w:rsid w:val="00F6398F"/>
    <w:rsid w:val="00F64682"/>
    <w:rsid w:val="00F657F4"/>
    <w:rsid w:val="00F65AC6"/>
    <w:rsid w:val="00F666ED"/>
    <w:rsid w:val="00F70DA1"/>
    <w:rsid w:val="00F72711"/>
    <w:rsid w:val="00F73383"/>
    <w:rsid w:val="00F73DB5"/>
    <w:rsid w:val="00F743C7"/>
    <w:rsid w:val="00F82C2F"/>
    <w:rsid w:val="00F83B3C"/>
    <w:rsid w:val="00F935AE"/>
    <w:rsid w:val="00F949F0"/>
    <w:rsid w:val="00FA013A"/>
    <w:rsid w:val="00FA13CC"/>
    <w:rsid w:val="00FA756D"/>
    <w:rsid w:val="00FB15B6"/>
    <w:rsid w:val="00FB7028"/>
    <w:rsid w:val="00FC0189"/>
    <w:rsid w:val="00FC046E"/>
    <w:rsid w:val="00FC3178"/>
    <w:rsid w:val="00FC5277"/>
    <w:rsid w:val="00FD001F"/>
    <w:rsid w:val="00FD1511"/>
    <w:rsid w:val="00FD4E48"/>
    <w:rsid w:val="00FD63A6"/>
    <w:rsid w:val="00FD67E3"/>
    <w:rsid w:val="00FE0079"/>
    <w:rsid w:val="00FE1F7B"/>
    <w:rsid w:val="00FE3FE9"/>
    <w:rsid w:val="00FE6803"/>
    <w:rsid w:val="00FE7089"/>
    <w:rsid w:val="00FF290F"/>
    <w:rsid w:val="01E4291E"/>
    <w:rsid w:val="035B2050"/>
    <w:rsid w:val="04B0441D"/>
    <w:rsid w:val="06A70F5E"/>
    <w:rsid w:val="11F20091"/>
    <w:rsid w:val="12AA2A10"/>
    <w:rsid w:val="1ACF38CB"/>
    <w:rsid w:val="1C6E3540"/>
    <w:rsid w:val="1FEB56C9"/>
    <w:rsid w:val="20785E5A"/>
    <w:rsid w:val="225F3E54"/>
    <w:rsid w:val="24E86DB0"/>
    <w:rsid w:val="259C1789"/>
    <w:rsid w:val="267E6ECE"/>
    <w:rsid w:val="28862498"/>
    <w:rsid w:val="2CD349DC"/>
    <w:rsid w:val="38CD0850"/>
    <w:rsid w:val="3BEB1247"/>
    <w:rsid w:val="3DA85DB2"/>
    <w:rsid w:val="3EC7457A"/>
    <w:rsid w:val="401642E9"/>
    <w:rsid w:val="40F73339"/>
    <w:rsid w:val="410B3B25"/>
    <w:rsid w:val="411A0CF3"/>
    <w:rsid w:val="4224729C"/>
    <w:rsid w:val="4D9968E0"/>
    <w:rsid w:val="4DE04CF0"/>
    <w:rsid w:val="50FE23F3"/>
    <w:rsid w:val="51B73A0F"/>
    <w:rsid w:val="535215A0"/>
    <w:rsid w:val="589E1830"/>
    <w:rsid w:val="5C4C7AC0"/>
    <w:rsid w:val="62800A52"/>
    <w:rsid w:val="634C3404"/>
    <w:rsid w:val="638E4029"/>
    <w:rsid w:val="67AC242F"/>
    <w:rsid w:val="6C1465E8"/>
    <w:rsid w:val="6C65374E"/>
    <w:rsid w:val="6ECB6E3A"/>
    <w:rsid w:val="75C5562F"/>
    <w:rsid w:val="7D1C3C85"/>
    <w:rsid w:val="7F7519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0"/>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27"/>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unhideWhenUsed/>
    <w:qFormat/>
    <w:uiPriority w:val="99"/>
    <w:pPr>
      <w:widowControl/>
      <w:ind w:left="420" w:leftChars="200"/>
    </w:pPr>
    <w:rPr>
      <w:rFonts w:ascii="Wingdings" w:hAnsi="Wingdings" w:eastAsia="宋体" w:cs="Times New Roman"/>
      <w:szCs w:val="24"/>
    </w:rPr>
  </w:style>
  <w:style w:type="paragraph" w:styleId="7">
    <w:name w:val="Body Text"/>
    <w:basedOn w:val="1"/>
    <w:link w:val="23"/>
    <w:qFormat/>
    <w:uiPriority w:val="1"/>
    <w:pPr>
      <w:autoSpaceDE w:val="0"/>
      <w:autoSpaceDN w:val="0"/>
      <w:spacing w:before="214"/>
      <w:ind w:left="760"/>
    </w:pPr>
    <w:rPr>
      <w:rFonts w:ascii="仿宋" w:hAnsi="仿宋" w:eastAsia="仿宋" w:cs="仿宋"/>
      <w:kern w:val="0"/>
      <w:sz w:val="32"/>
      <w:szCs w:val="32"/>
      <w:lang w:val="zh-CN" w:bidi="zh-CN"/>
    </w:rPr>
  </w:style>
  <w:style w:type="paragraph" w:styleId="8">
    <w:name w:val="Balloon Text"/>
    <w:basedOn w:val="1"/>
    <w:link w:val="25"/>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2"/>
    <w:qFormat/>
    <w:uiPriority w:val="10"/>
    <w:pPr>
      <w:widowControl/>
      <w:spacing w:before="240" w:after="60"/>
      <w:jc w:val="center"/>
    </w:pPr>
    <w:rPr>
      <w:rFonts w:ascii="Calibri Light" w:hAnsi="Calibri Light" w:eastAsia="宋体" w:cs="Times New Roman"/>
      <w:b/>
      <w:sz w:val="32"/>
      <w:szCs w:val="24"/>
    </w:rPr>
  </w:style>
  <w:style w:type="character" w:styleId="15">
    <w:name w:val="Strong"/>
    <w:basedOn w:val="14"/>
    <w:qFormat/>
    <w:uiPriority w:val="22"/>
    <w:rPr>
      <w:b/>
    </w:rPr>
  </w:style>
  <w:style w:type="character" w:styleId="16">
    <w:name w:val="Emphasis"/>
    <w:basedOn w:val="14"/>
    <w:qFormat/>
    <w:uiPriority w:val="20"/>
    <w:rPr>
      <w:i/>
    </w:rPr>
  </w:style>
  <w:style w:type="character" w:styleId="17">
    <w:name w:val="Hyperlink"/>
    <w:basedOn w:val="14"/>
    <w:semiHidden/>
    <w:unhideWhenUsed/>
    <w:qFormat/>
    <w:uiPriority w:val="99"/>
    <w:rPr>
      <w:color w:val="0000FF"/>
      <w:u w:val="single"/>
    </w:rPr>
  </w:style>
  <w:style w:type="character" w:customStyle="1" w:styleId="18">
    <w:name w:val="页眉 Char"/>
    <w:basedOn w:val="14"/>
    <w:link w:val="10"/>
    <w:qFormat/>
    <w:uiPriority w:val="99"/>
    <w:rPr>
      <w:sz w:val="18"/>
      <w:szCs w:val="18"/>
    </w:rPr>
  </w:style>
  <w:style w:type="character" w:customStyle="1" w:styleId="19">
    <w:name w:val="页脚 Char"/>
    <w:basedOn w:val="14"/>
    <w:link w:val="9"/>
    <w:qFormat/>
    <w:uiPriority w:val="99"/>
    <w:rPr>
      <w:sz w:val="18"/>
      <w:szCs w:val="18"/>
    </w:rPr>
  </w:style>
  <w:style w:type="character" w:customStyle="1" w:styleId="20">
    <w:name w:val="标题 2 Char"/>
    <w:basedOn w:val="14"/>
    <w:link w:val="2"/>
    <w:qFormat/>
    <w:uiPriority w:val="99"/>
    <w:rPr>
      <w:rFonts w:ascii="宋体" w:hAnsi="宋体" w:eastAsia="宋体" w:cs="宋体"/>
      <w:b/>
      <w:bCs/>
      <w:kern w:val="0"/>
      <w:sz w:val="36"/>
      <w:szCs w:val="36"/>
    </w:rPr>
  </w:style>
  <w:style w:type="paragraph" w:styleId="21">
    <w:name w:val="List Paragraph"/>
    <w:basedOn w:val="1"/>
    <w:qFormat/>
    <w:uiPriority w:val="34"/>
    <w:pPr>
      <w:ind w:firstLine="420" w:firstLineChars="200"/>
    </w:pPr>
  </w:style>
  <w:style w:type="character" w:customStyle="1" w:styleId="22">
    <w:name w:val="标题 Char"/>
    <w:basedOn w:val="14"/>
    <w:link w:val="12"/>
    <w:qFormat/>
    <w:uiPriority w:val="10"/>
    <w:rPr>
      <w:rFonts w:ascii="Calibri Light" w:hAnsi="Calibri Light" w:eastAsia="宋体" w:cs="Times New Roman"/>
      <w:b/>
      <w:sz w:val="32"/>
      <w:szCs w:val="24"/>
    </w:rPr>
  </w:style>
  <w:style w:type="character" w:customStyle="1" w:styleId="23">
    <w:name w:val="正文文本 Char"/>
    <w:basedOn w:val="14"/>
    <w:link w:val="7"/>
    <w:qFormat/>
    <w:uiPriority w:val="1"/>
    <w:rPr>
      <w:rFonts w:ascii="仿宋" w:hAnsi="仿宋" w:eastAsia="仿宋" w:cs="仿宋"/>
      <w:kern w:val="0"/>
      <w:sz w:val="32"/>
      <w:szCs w:val="32"/>
      <w:lang w:val="zh-CN" w:bidi="zh-CN"/>
    </w:rPr>
  </w:style>
  <w:style w:type="character" w:customStyle="1" w:styleId="24">
    <w:name w:val="标题 1 Char"/>
    <w:basedOn w:val="14"/>
    <w:link w:val="3"/>
    <w:qFormat/>
    <w:uiPriority w:val="9"/>
    <w:rPr>
      <w:b/>
      <w:bCs/>
      <w:kern w:val="44"/>
      <w:sz w:val="44"/>
      <w:szCs w:val="44"/>
    </w:rPr>
  </w:style>
  <w:style w:type="character" w:customStyle="1" w:styleId="25">
    <w:name w:val="批注框文本 Char"/>
    <w:basedOn w:val="14"/>
    <w:link w:val="8"/>
    <w:semiHidden/>
    <w:qFormat/>
    <w:uiPriority w:val="99"/>
    <w:rPr>
      <w:sz w:val="18"/>
      <w:szCs w:val="18"/>
    </w:rPr>
  </w:style>
  <w:style w:type="character" w:customStyle="1" w:styleId="26">
    <w:name w:val="标题 4 Char"/>
    <w:basedOn w:val="14"/>
    <w:link w:val="5"/>
    <w:qFormat/>
    <w:uiPriority w:val="99"/>
    <w:rPr>
      <w:rFonts w:asciiTheme="majorHAnsi" w:hAnsiTheme="majorHAnsi" w:eastAsiaTheme="majorEastAsia" w:cstheme="majorBidi"/>
      <w:b/>
      <w:bCs/>
      <w:kern w:val="2"/>
      <w:sz w:val="28"/>
      <w:szCs w:val="28"/>
    </w:rPr>
  </w:style>
  <w:style w:type="character" w:customStyle="1" w:styleId="27">
    <w:name w:val="标题 3 Char"/>
    <w:basedOn w:val="14"/>
    <w:link w:val="4"/>
    <w:semiHidden/>
    <w:qFormat/>
    <w:uiPriority w:val="9"/>
    <w:rPr>
      <w:b/>
      <w:bCs/>
      <w:kern w:val="2"/>
      <w:sz w:val="32"/>
      <w:szCs w:val="32"/>
    </w:rPr>
  </w:style>
  <w:style w:type="character" w:customStyle="1" w:styleId="28">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D91567-72D6-44BB-BBD6-E480C451EC5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48</Pages>
  <Words>3964</Words>
  <Characters>22596</Characters>
  <Lines>188</Lines>
  <Paragraphs>53</Paragraphs>
  <TotalTime>1</TotalTime>
  <ScaleCrop>false</ScaleCrop>
  <LinksUpToDate>false</LinksUpToDate>
  <CharactersWithSpaces>26507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2020-11-27T07:46:00Z</dcterms:created>
  <dc:creator>丛玥</dc:creator>
  <cp:lastModifiedBy>暮雨1378955087</cp:lastModifiedBy>
  <cp:lastPrinted>2021-11-02T06:36:00Z</cp:lastPrinted>
  <dcterms:modified xsi:type="dcterms:W3CDTF">2021-11-08T08:01:01Z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0EF78EAC5E564814A8C6B49B3438C975</vt:lpwstr>
  </property>
</Properties>
</file>